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8B33" w14:textId="05CA7AC4" w:rsidR="0033266C" w:rsidRDefault="0033266C" w:rsidP="0033266C">
      <w:pPr>
        <w:pStyle w:val="3GPPHeader"/>
        <w:spacing w:after="60"/>
        <w:rPr>
          <w:sz w:val="32"/>
          <w:szCs w:val="32"/>
          <w:highlight w:val="yellow"/>
          <w:lang w:val="en-US"/>
        </w:rPr>
      </w:pPr>
      <w:bookmarkStart w:id="0" w:name="_Hlk524960236"/>
      <w:bookmarkStart w:id="1" w:name="_GoBack"/>
      <w:bookmarkEnd w:id="1"/>
      <w:r>
        <w:rPr>
          <w:lang w:val="en-US"/>
        </w:rPr>
        <w:t>3GPP TSG-RAN WG1 Meeting #96</w:t>
      </w:r>
      <w:r>
        <w:rPr>
          <w:lang w:val="en-US"/>
        </w:rPr>
        <w:tab/>
      </w:r>
      <w:r>
        <w:rPr>
          <w:sz w:val="32"/>
          <w:szCs w:val="32"/>
          <w:lang w:val="en-US"/>
        </w:rPr>
        <w:t xml:space="preserve"> </w:t>
      </w:r>
      <w:r w:rsidRPr="00554885">
        <w:rPr>
          <w:sz w:val="32"/>
          <w:szCs w:val="32"/>
          <w:lang w:val="en-US"/>
        </w:rPr>
        <w:t>R1-19</w:t>
      </w:r>
      <w:r w:rsidR="0034106B" w:rsidRPr="00554885">
        <w:rPr>
          <w:sz w:val="32"/>
          <w:szCs w:val="32"/>
          <w:lang w:val="en-US"/>
        </w:rPr>
        <w:t>0</w:t>
      </w:r>
      <w:r w:rsidR="00554885" w:rsidRPr="00554885">
        <w:rPr>
          <w:sz w:val="32"/>
          <w:szCs w:val="32"/>
          <w:lang w:val="en-US"/>
        </w:rPr>
        <w:t>2880</w:t>
      </w:r>
    </w:p>
    <w:p w14:paraId="757DFB44" w14:textId="0AD91FC4" w:rsidR="0033266C" w:rsidRPr="005B5E25" w:rsidRDefault="0033266C" w:rsidP="0033266C">
      <w:pPr>
        <w:pStyle w:val="3GPPHeader"/>
        <w:spacing w:after="0"/>
      </w:pPr>
      <w:r w:rsidRPr="00925847">
        <w:rPr>
          <w:lang w:val="en-US"/>
        </w:rPr>
        <w:t>Athens</w:t>
      </w:r>
      <w:r>
        <w:rPr>
          <w:lang w:val="en-US"/>
        </w:rPr>
        <w:t xml:space="preserve">, </w:t>
      </w:r>
      <w:r w:rsidRPr="00925847">
        <w:rPr>
          <w:lang w:val="en-US"/>
        </w:rPr>
        <w:t>G</w:t>
      </w:r>
      <w:r>
        <w:rPr>
          <w:lang w:val="en-US"/>
        </w:rPr>
        <w:t>reece, 25</w:t>
      </w:r>
      <w:r>
        <w:rPr>
          <w:vertAlign w:val="superscript"/>
          <w:lang w:val="en-US"/>
        </w:rPr>
        <w:t>th</w:t>
      </w:r>
      <w:r>
        <w:rPr>
          <w:lang w:val="en-US"/>
        </w:rPr>
        <w:t xml:space="preserve"> February – 1</w:t>
      </w:r>
      <w:r w:rsidRPr="00447772">
        <w:rPr>
          <w:vertAlign w:val="superscript"/>
          <w:lang w:val="en-US"/>
        </w:rPr>
        <w:t>st</w:t>
      </w:r>
      <w:r>
        <w:rPr>
          <w:lang w:val="en-US"/>
        </w:rPr>
        <w:t xml:space="preserve"> </w:t>
      </w:r>
      <w:proofErr w:type="gramStart"/>
      <w:r>
        <w:rPr>
          <w:lang w:val="en-US"/>
        </w:rPr>
        <w:t>March,</w:t>
      </w:r>
      <w:proofErr w:type="gramEnd"/>
      <w:r>
        <w:rPr>
          <w:lang w:val="en-US"/>
        </w:rPr>
        <w:t xml:space="preserve"> 2019</w:t>
      </w:r>
    </w:p>
    <w:bookmarkEnd w:id="0"/>
    <w:p w14:paraId="335AC26B" w14:textId="77777777" w:rsidR="00543EE3" w:rsidRPr="007D0014" w:rsidRDefault="00543EE3" w:rsidP="00543EE3">
      <w:pPr>
        <w:pStyle w:val="3GPPHeader"/>
      </w:pPr>
    </w:p>
    <w:p w14:paraId="3BE1457C" w14:textId="77777777" w:rsidR="00543EE3" w:rsidRPr="007D0014" w:rsidRDefault="00543EE3" w:rsidP="00543EE3">
      <w:pPr>
        <w:pStyle w:val="3GPPHeader"/>
        <w:rPr>
          <w:sz w:val="22"/>
        </w:rPr>
      </w:pPr>
      <w:r w:rsidRPr="007D0014">
        <w:rPr>
          <w:sz w:val="22"/>
        </w:rPr>
        <w:t>Agenda Item:</w:t>
      </w:r>
      <w:r w:rsidRPr="007D0014">
        <w:rPr>
          <w:sz w:val="22"/>
        </w:rPr>
        <w:tab/>
        <w:t>7.2.2.1.1</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77777777" w:rsidR="00543EE3" w:rsidRPr="007D0014" w:rsidRDefault="00543EE3" w:rsidP="00543EE3">
      <w:pPr>
        <w:pStyle w:val="3GPPHeader"/>
        <w:rPr>
          <w:sz w:val="22"/>
        </w:rPr>
      </w:pPr>
      <w:r w:rsidRPr="007D0014">
        <w:rPr>
          <w:sz w:val="22"/>
        </w:rPr>
        <w:t>Title:</w:t>
      </w:r>
      <w:r w:rsidRPr="007D0014">
        <w:rPr>
          <w:sz w:val="22"/>
        </w:rPr>
        <w:tab/>
        <w:t>Initial access signals and channels for NR-U</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2" w:name="_Toc533002893"/>
      <w:r>
        <w:t>1</w:t>
      </w:r>
      <w:r>
        <w:tab/>
      </w:r>
      <w:r w:rsidRPr="00CE0424">
        <w:t>Introduction</w:t>
      </w:r>
      <w:bookmarkEnd w:id="2"/>
    </w:p>
    <w:p w14:paraId="5AF92C3D" w14:textId="79E3D001" w:rsidR="00543EE3" w:rsidRPr="007D0014" w:rsidRDefault="00543EE3" w:rsidP="00543EE3">
      <w:pPr>
        <w:pStyle w:val="BodyText"/>
      </w:pPr>
      <w:r w:rsidRPr="0023797C">
        <w:t>In this contribution, we discuss the design of signals and channels for initial access for NR-U, specifically</w:t>
      </w:r>
    </w:p>
    <w:p w14:paraId="242319EC"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 xml:space="preserve">Physical </w:t>
      </w:r>
      <w:proofErr w:type="gramStart"/>
      <w:r w:rsidRPr="007D0014">
        <w:t>random access</w:t>
      </w:r>
      <w:proofErr w:type="gramEnd"/>
      <w:r w:rsidRPr="007D0014">
        <w:t xml:space="preserve"> channel (PRACH)</w:t>
      </w:r>
    </w:p>
    <w:p w14:paraId="0F090C4D" w14:textId="77777777" w:rsidR="00543EE3" w:rsidRDefault="00543EE3" w:rsidP="00543EE3">
      <w:pPr>
        <w:pStyle w:val="Heading1"/>
      </w:pPr>
      <w:bookmarkStart w:id="3" w:name="_Toc533002894"/>
      <w:r>
        <w:t>2</w:t>
      </w:r>
      <w:r>
        <w:tab/>
        <w:t>DRS</w:t>
      </w:r>
      <w:bookmarkEnd w:id="3"/>
    </w:p>
    <w:p w14:paraId="6929940D" w14:textId="27141091" w:rsidR="00543EE3" w:rsidRPr="007D0014" w:rsidRDefault="00543EE3" w:rsidP="00543EE3">
      <w:pPr>
        <w:pStyle w:val="BodyText"/>
        <w:rPr>
          <w:highlight w:val="yellow"/>
        </w:rPr>
      </w:pPr>
      <w:r w:rsidRPr="0023797C">
        <w:t xml:space="preserve">In the SI phase </w:t>
      </w:r>
      <w:r>
        <w:fldChar w:fldCharType="begin"/>
      </w:r>
      <w:r w:rsidRPr="007D0014">
        <w:instrText xml:space="preserve"> REF _Ref534117348 \r \h </w:instrText>
      </w:r>
      <w:r>
        <w:fldChar w:fldCharType="separate"/>
      </w:r>
      <w:r w:rsidR="000B4707">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p>
    <w:p w14:paraId="7B21ABC2" w14:textId="77777777" w:rsidR="00543EE3" w:rsidRPr="007D0014" w:rsidRDefault="00543EE3" w:rsidP="00543EE3">
      <w:pPr>
        <w:pStyle w:val="BodyText"/>
      </w:pPr>
      <w:r w:rsidRPr="007D0014">
        <w:t>In many parts of the world the regulation for unlicensed bands include EIRP limits. Because the beamforming gain is included in the EIRP, using beamforming to increase coverage might not be feasible (assuming the device is able to reach maximum output power with omni-directional transmissions). However, in general beamforming can also be used to reduce interference. NR supports that the UE implicitly indicates the best SS/PBCH block to the gNB during the RACH procedure. This information can then be used in the gNB precoder selection, allowing the gNB to reduce interference for upcoming beamformed PDSCH transmissions. Thus, we think that even for the cases where SS/PBCH block coverage cannot be improved by beamforming, supporting beamformed SS/PBCH blocks has other merits. Thus, we see no reason to restrict this for NR-U.</w:t>
      </w:r>
    </w:p>
    <w:p w14:paraId="55C7270A" w14:textId="4DEC76BE" w:rsidR="00543EE3" w:rsidRPr="007D0014" w:rsidRDefault="00543EE3" w:rsidP="00543EE3">
      <w:pPr>
        <w:pStyle w:val="Observation"/>
        <w:overflowPunct/>
        <w:autoSpaceDE/>
        <w:autoSpaceDN/>
        <w:adjustRightInd/>
        <w:spacing w:line="259" w:lineRule="auto"/>
        <w:ind w:left="1710" w:hanging="1710"/>
        <w:textAlignment w:val="auto"/>
      </w:pPr>
      <w:bookmarkStart w:id="4" w:name="_Toc528958966"/>
      <w:bookmarkStart w:id="5" w:name="_Toc533002519"/>
      <w:bookmarkStart w:id="6" w:name="_Toc533002720"/>
      <w:bookmarkStart w:id="7" w:name="_Toc533002992"/>
      <w:bookmarkStart w:id="8" w:name="_Toc534128205"/>
      <w:bookmarkStart w:id="9" w:name="_Toc534881569"/>
      <w:bookmarkStart w:id="10" w:name="_Toc534893708"/>
      <w:bookmarkStart w:id="11" w:name="_Toc534969022"/>
      <w:bookmarkStart w:id="12" w:name="_Toc972469"/>
      <w:bookmarkStart w:id="13" w:name="_Toc973386"/>
      <w:bookmarkStart w:id="14" w:name="_Toc973520"/>
      <w:bookmarkStart w:id="15" w:name="_Toc973855"/>
      <w:bookmarkStart w:id="16" w:name="_Toc974196"/>
      <w:bookmarkStart w:id="17" w:name="_Toc976222"/>
      <w:r w:rsidRPr="007D0014">
        <w:t xml:space="preserve">NR </w:t>
      </w:r>
      <w:r w:rsidR="004C1684">
        <w:t xml:space="preserve">Rel-15 </w:t>
      </w:r>
      <w:r w:rsidRPr="007D0014">
        <w:t>supports beamformed SS/PBCH block transmissions and thus we see no reason to restrict this for NR-U.</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4318452" w14:textId="33EDCF5C" w:rsidR="00543EE3" w:rsidRPr="0023797C" w:rsidRDefault="00543EE3" w:rsidP="00543EE3">
      <w:pPr>
        <w:pStyle w:val="BodyText"/>
      </w:pPr>
      <w:r w:rsidRPr="007D0014">
        <w:t xml:space="preserve">One example of a potential compact DRS composition for 30kHz subcarrier spacing is shown in </w:t>
      </w:r>
      <w:r>
        <w:fldChar w:fldCharType="begin"/>
      </w:r>
      <w:r w:rsidRPr="007D0014">
        <w:instrText xml:space="preserve"> REF _Ref534123387 \h </w:instrText>
      </w:r>
      <w:r>
        <w:fldChar w:fldCharType="separate"/>
      </w:r>
      <w:r w:rsidR="000B4707" w:rsidRPr="0023797C">
        <w:t xml:space="preserve">Figure </w:t>
      </w:r>
      <w:r w:rsidR="000B4707">
        <w:rPr>
          <w:noProof/>
        </w:rPr>
        <w:t>1</w:t>
      </w:r>
      <w:r>
        <w:fldChar w:fldCharType="end"/>
      </w:r>
      <w:r w:rsidRPr="0023797C">
        <w:t xml:space="preserve"> for the case of 4 SS/PBCH blocks within a burst set. This example uses the Case C SS/PBCH time domain block pattern as defined in </w:t>
      </w:r>
      <w:r>
        <w:fldChar w:fldCharType="begin"/>
      </w:r>
      <w:r w:rsidRPr="007D0014">
        <w:instrText xml:space="preserve"> REF _Ref534881501 \r \h </w:instrText>
      </w:r>
      <w:r>
        <w:fldChar w:fldCharType="separate"/>
      </w:r>
      <w:r w:rsidR="000B4707">
        <w:t>[5]</w:t>
      </w:r>
      <w:r>
        <w:fldChar w:fldCharType="end"/>
      </w:r>
      <w:r w:rsidRPr="0023797C">
        <w:t xml:space="preserve">, Section 4.1. As shown in the next section, this time domain pattern is useful when DRS contains RMSI (SIB1), e.g., for standalone deployments. </w:t>
      </w:r>
      <w:r w:rsidRPr="007D0014">
        <w:t xml:space="preserve">The length is restricted to 1 ms </w:t>
      </w:r>
      <w:proofErr w:type="gramStart"/>
      <w:r w:rsidRPr="007D0014">
        <w:t>in order to</w:t>
      </w:r>
      <w:proofErr w:type="gramEnd"/>
      <w:r w:rsidRPr="007D0014">
        <w:t xml:space="preserve"> use Cat-2 LBT in-line with agreements in the SI phase </w:t>
      </w:r>
      <w:r>
        <w:fldChar w:fldCharType="begin"/>
      </w:r>
      <w:r w:rsidRPr="007D0014">
        <w:instrText xml:space="preserve"> REF _Ref534117348 \r \h </w:instrText>
      </w:r>
      <w:r>
        <w:fldChar w:fldCharType="separate"/>
      </w:r>
      <w:r w:rsidR="000B4707">
        <w:t>[1]</w:t>
      </w:r>
      <w:r>
        <w:fldChar w:fldCharType="end"/>
      </w:r>
      <w:r w:rsidRPr="0023797C">
        <w:t xml:space="preserve"> Section 7.2.1.3.1: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543EE3" w:rsidRPr="00C64ECB" w14:paraId="5F6C75BE" w14:textId="77777777" w:rsidTr="00D62C6F">
        <w:trPr>
          <w:jc w:val="center"/>
        </w:trPr>
        <w:tc>
          <w:tcPr>
            <w:tcW w:w="1755" w:type="pct"/>
            <w:shd w:val="clear" w:color="auto" w:fill="auto"/>
          </w:tcPr>
          <w:p w14:paraId="0AAE27E4" w14:textId="77777777" w:rsidR="00543EE3" w:rsidRPr="00C64ECB" w:rsidRDefault="00543EE3" w:rsidP="00D62C6F">
            <w:pPr>
              <w:pStyle w:val="TAH"/>
            </w:pPr>
          </w:p>
        </w:tc>
        <w:tc>
          <w:tcPr>
            <w:tcW w:w="1649" w:type="pct"/>
            <w:shd w:val="clear" w:color="auto" w:fill="auto"/>
          </w:tcPr>
          <w:p w14:paraId="563D1118" w14:textId="77777777" w:rsidR="00543EE3" w:rsidRPr="00C64ECB" w:rsidRDefault="00543EE3" w:rsidP="00D62C6F">
            <w:pPr>
              <w:pStyle w:val="TAH"/>
            </w:pPr>
            <w:r w:rsidRPr="00C64ECB">
              <w:t>Cat 2 LBT</w:t>
            </w:r>
          </w:p>
        </w:tc>
        <w:tc>
          <w:tcPr>
            <w:tcW w:w="1596" w:type="pct"/>
            <w:shd w:val="clear" w:color="auto" w:fill="auto"/>
          </w:tcPr>
          <w:p w14:paraId="7FC5B98E" w14:textId="77777777" w:rsidR="00543EE3" w:rsidRPr="00C64ECB" w:rsidRDefault="00543EE3" w:rsidP="00D62C6F">
            <w:pPr>
              <w:pStyle w:val="TAH"/>
            </w:pPr>
            <w:r w:rsidRPr="00C64ECB">
              <w:t>Cat 4 LBT</w:t>
            </w:r>
          </w:p>
        </w:tc>
      </w:tr>
      <w:tr w:rsidR="00543EE3" w:rsidRPr="001B6014" w14:paraId="3098B121" w14:textId="77777777" w:rsidTr="00D62C6F">
        <w:trPr>
          <w:jc w:val="center"/>
        </w:trPr>
        <w:tc>
          <w:tcPr>
            <w:tcW w:w="1755" w:type="pct"/>
            <w:shd w:val="clear" w:color="auto" w:fill="auto"/>
          </w:tcPr>
          <w:p w14:paraId="5EEDEF49" w14:textId="77777777" w:rsidR="00543EE3" w:rsidRPr="00C64ECB" w:rsidRDefault="00543EE3" w:rsidP="00D62C6F">
            <w:pPr>
              <w:pStyle w:val="TAL"/>
            </w:pPr>
            <w:r w:rsidRPr="00C64ECB">
              <w:t xml:space="preserve">DRS alone or multiplexed with non-unicast data (e.g. OSI, paging, RAR) </w:t>
            </w:r>
          </w:p>
        </w:tc>
        <w:tc>
          <w:tcPr>
            <w:tcW w:w="1649" w:type="pct"/>
            <w:shd w:val="clear" w:color="auto" w:fill="auto"/>
          </w:tcPr>
          <w:p w14:paraId="6901A79F" w14:textId="77777777" w:rsidR="00543EE3" w:rsidRPr="00C64ECB" w:rsidRDefault="00543EE3" w:rsidP="00D62C6F">
            <w:pPr>
              <w:pStyle w:val="TAL"/>
              <w:rPr>
                <w:i/>
              </w:rPr>
            </w:pPr>
            <w:r>
              <w:t>W</w:t>
            </w:r>
            <w:r w:rsidRPr="00C64ECB">
              <w:t>hen the DRS duty cycle ≤1/20, and the total duration is up to 1 ms: 25 µs Cat 2 LBT is used (as in LAA)</w:t>
            </w:r>
          </w:p>
        </w:tc>
        <w:tc>
          <w:tcPr>
            <w:tcW w:w="1596" w:type="pct"/>
            <w:shd w:val="clear" w:color="auto" w:fill="auto"/>
          </w:tcPr>
          <w:p w14:paraId="7F88725F" w14:textId="77777777" w:rsidR="00543EE3" w:rsidRPr="00C64ECB" w:rsidRDefault="00543EE3" w:rsidP="00D62C6F">
            <w:pPr>
              <w:pStyle w:val="TAL"/>
            </w:pPr>
            <w:r w:rsidRPr="00C64ECB">
              <w:t>When DRS duty cycle is &gt; 1/20, or total duration &gt; 1 ms</w:t>
            </w:r>
          </w:p>
        </w:tc>
      </w:tr>
    </w:tbl>
    <w:p w14:paraId="6CD01A53" w14:textId="77777777" w:rsidR="00543EE3" w:rsidRPr="0023797C" w:rsidRDefault="00543EE3" w:rsidP="00543EE3">
      <w:pPr>
        <w:pStyle w:val="BodyText"/>
      </w:pPr>
    </w:p>
    <w:p w14:paraId="068ECC1B" w14:textId="5E2B7B9C" w:rsidR="00543EE3" w:rsidRPr="007D0014" w:rsidRDefault="00543EE3" w:rsidP="00543EE3">
      <w:pPr>
        <w:pStyle w:val="BodyText"/>
      </w:pPr>
      <w:r w:rsidRPr="007D0014">
        <w:t xml:space="preserve">Because a PDCCH search space occurs every half slot, i.e., 7 OS (see discussion in next section), LBT can be attempted every half-slot. In the figure, SSBX (Y) denotes an SS/PBCH block with index X and </w:t>
      </w:r>
      <w:r w:rsidRPr="007D0014">
        <w:rPr>
          <w:i/>
        </w:rPr>
        <w:t>effective</w:t>
      </w:r>
      <w:r w:rsidRPr="007D0014">
        <w:t xml:space="preserve"> SS/PBCH block index Y as discussed in </w:t>
      </w:r>
      <w:r>
        <w:fldChar w:fldCharType="begin"/>
      </w:r>
      <w:r w:rsidRPr="007D0014">
        <w:instrText xml:space="preserve"> REF _Ref534119289 \r \h </w:instrText>
      </w:r>
      <w:r>
        <w:fldChar w:fldCharType="separate"/>
      </w:r>
      <w:r w:rsidR="000B4707">
        <w:t>[2]</w:t>
      </w:r>
      <w:r>
        <w:fldChar w:fldCharType="end"/>
      </w:r>
      <w:r w:rsidRPr="0023797C">
        <w:t xml:space="preserve">. In this example, the DRS is time shifted by a half slot due to LBT failure at the beginning of the first slot. As discussed in </w:t>
      </w:r>
      <w:r>
        <w:fldChar w:fldCharType="begin"/>
      </w:r>
      <w:r w:rsidRPr="007D0014">
        <w:instrText xml:space="preserve"> REF _Ref534119289 \r \h </w:instrText>
      </w:r>
      <w:r>
        <w:fldChar w:fldCharType="separate"/>
      </w:r>
      <w:r w:rsidR="000B4707">
        <w:t>[2]</w:t>
      </w:r>
      <w:r>
        <w:fldChar w:fldCharType="end"/>
      </w:r>
      <w:r w:rsidRPr="0023797C">
        <w:t xml:space="preserve">, the effective index Y allows the UE to determine which SS/PBCH block from one DRS burst to another that are </w:t>
      </w:r>
      <w:proofErr w:type="spellStart"/>
      <w:r w:rsidRPr="0023797C">
        <w:t>QCL’d</w:t>
      </w:r>
      <w:proofErr w:type="spellEnd"/>
      <w:r w:rsidRPr="0023797C">
        <w:t xml:space="preserve">, even though the actual </w:t>
      </w:r>
      <w:proofErr w:type="spellStart"/>
      <w:r w:rsidRPr="0023797C">
        <w:t>signaled</w:t>
      </w:r>
      <w:proofErr w:type="spellEnd"/>
      <w:r w:rsidRPr="0023797C">
        <w:t xml:space="preserve"> </w:t>
      </w:r>
      <w:r w:rsidR="00D62C6F">
        <w:t xml:space="preserve">SS/PBCH </w:t>
      </w:r>
      <w:r w:rsidRPr="0023797C">
        <w:t>block indices X may be different from burst to burst because of potential time shifting due to LBT failure.</w:t>
      </w:r>
    </w:p>
    <w:p w14:paraId="2F38D54B" w14:textId="77777777" w:rsidR="00543EE3" w:rsidRDefault="00543EE3" w:rsidP="00543EE3">
      <w:pPr>
        <w:pStyle w:val="TH"/>
        <w:spacing w:after="0"/>
      </w:pPr>
      <w:r w:rsidRPr="00917097">
        <w:rPr>
          <w:noProof/>
        </w:rPr>
        <w:lastRenderedPageBreak/>
        <w:t xml:space="preserve"> </w:t>
      </w:r>
      <w:r w:rsidRPr="00F52508">
        <w:rPr>
          <w:noProof/>
        </w:rPr>
        <w:drawing>
          <wp:inline distT="0" distB="0" distL="0" distR="0" wp14:anchorId="094B6BC9" wp14:editId="2D72BD09">
            <wp:extent cx="6138407" cy="134363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9715" r="7863"/>
                    <a:stretch/>
                  </pic:blipFill>
                  <pic:spPr bwMode="auto">
                    <a:xfrm>
                      <a:off x="0" y="0"/>
                      <a:ext cx="6155891" cy="1347465"/>
                    </a:xfrm>
                    <a:prstGeom prst="rect">
                      <a:avLst/>
                    </a:prstGeom>
                    <a:ln>
                      <a:noFill/>
                    </a:ln>
                    <a:extLst>
                      <a:ext uri="{53640926-AAD7-44D8-BBD7-CCE9431645EC}">
                        <a14:shadowObscured xmlns:a14="http://schemas.microsoft.com/office/drawing/2010/main"/>
                      </a:ext>
                    </a:extLst>
                  </pic:spPr>
                </pic:pic>
              </a:graphicData>
            </a:graphic>
          </wp:inline>
        </w:drawing>
      </w:r>
    </w:p>
    <w:p w14:paraId="325B5B8A" w14:textId="4CA0C92A" w:rsidR="00543EE3" w:rsidRPr="0023797C" w:rsidRDefault="00543EE3" w:rsidP="00543EE3">
      <w:pPr>
        <w:pStyle w:val="Caption"/>
        <w:jc w:val="center"/>
      </w:pPr>
      <w:bookmarkStart w:id="18" w:name="_Ref534123387"/>
      <w:bookmarkStart w:id="19" w:name="_Ref534123368"/>
      <w:r w:rsidRPr="0023797C">
        <w:t xml:space="preserve">Figure </w:t>
      </w:r>
      <w:r>
        <w:fldChar w:fldCharType="begin"/>
      </w:r>
      <w:r w:rsidRPr="007D0014">
        <w:instrText xml:space="preserve"> SEQ Figure \* ARABIC </w:instrText>
      </w:r>
      <w:r>
        <w:fldChar w:fldCharType="separate"/>
      </w:r>
      <w:r w:rsidR="000B4707">
        <w:rPr>
          <w:noProof/>
        </w:rPr>
        <w:t>1</w:t>
      </w:r>
      <w:r>
        <w:fldChar w:fldCharType="end"/>
      </w:r>
      <w:bookmarkEnd w:id="18"/>
      <w:r w:rsidRPr="0023797C">
        <w:t>: Example of a potential DRS composition for 30kHz subcarrier spacing</w:t>
      </w:r>
      <w:r w:rsidR="004C1684">
        <w:t xml:space="preserve"> based on Case C time domain pattern</w:t>
      </w:r>
      <w:r w:rsidRPr="0023797C">
        <w:t>.</w:t>
      </w:r>
      <w:bookmarkEnd w:id="19"/>
      <w:r w:rsidR="004C1684">
        <w:t xml:space="preserve"> LBT fails in the first half-slot, and thus the first SS/PBCH block in the pattern is dropped.</w:t>
      </w:r>
    </w:p>
    <w:p w14:paraId="75D386EF" w14:textId="77777777" w:rsidR="00543EE3" w:rsidRPr="007D0014" w:rsidRDefault="00543EE3" w:rsidP="00543EE3">
      <w:pPr>
        <w:pStyle w:val="BodyText"/>
      </w:pPr>
      <w:r w:rsidRPr="007D0014">
        <w:t>To improve robustness of the SIB1 transmission it is desirable to enable soft combining of different SIB1 redundancy versions. In this example RV0 and RV3 has been chosen as they are self-decodable.</w:t>
      </w:r>
    </w:p>
    <w:p w14:paraId="4EEC7BCE" w14:textId="77777777" w:rsidR="00543EE3" w:rsidRPr="00EC4B66" w:rsidRDefault="00543EE3" w:rsidP="00543EE3">
      <w:pPr>
        <w:pStyle w:val="Proposal"/>
        <w:overflowPunct/>
        <w:autoSpaceDE/>
        <w:autoSpaceDN/>
        <w:adjustRightInd/>
        <w:spacing w:line="259" w:lineRule="auto"/>
        <w:textAlignment w:val="auto"/>
      </w:pPr>
      <w:bookmarkStart w:id="20" w:name="_Toc528958967"/>
      <w:bookmarkStart w:id="21" w:name="_Toc533002520"/>
      <w:bookmarkStart w:id="22" w:name="_Toc533002721"/>
      <w:bookmarkStart w:id="23" w:name="_Toc533002993"/>
      <w:bookmarkStart w:id="24" w:name="_Toc1070636"/>
      <w:r w:rsidRPr="00EC4B66">
        <w:t>Support soft combining of different SIB1 redundancy versions within the DRS.</w:t>
      </w:r>
      <w:bookmarkEnd w:id="20"/>
      <w:bookmarkEnd w:id="21"/>
      <w:bookmarkEnd w:id="22"/>
      <w:bookmarkEnd w:id="23"/>
      <w:bookmarkEnd w:id="24"/>
    </w:p>
    <w:p w14:paraId="4AB1AB12" w14:textId="1B505093" w:rsidR="00543EE3" w:rsidRDefault="00543EE3" w:rsidP="004C1684">
      <w:pPr>
        <w:pStyle w:val="BodyText"/>
      </w:pPr>
      <w:r w:rsidRPr="007D0014">
        <w:t xml:space="preserve">During the SI phase, it was discussed if and how to support beam repetition for soft combining of SSBs within the same DRS transmission. Using the mechanism in </w:t>
      </w:r>
      <w:r>
        <w:fldChar w:fldCharType="begin"/>
      </w:r>
      <w:r w:rsidRPr="007D0014">
        <w:instrText xml:space="preserve"> REF _Ref534119289 \r \h </w:instrText>
      </w:r>
      <w:r>
        <w:fldChar w:fldCharType="separate"/>
      </w:r>
      <w:r w:rsidR="000B4707">
        <w:t>[2]</w:t>
      </w:r>
      <w:r>
        <w:fldChar w:fldCharType="end"/>
      </w:r>
      <w:r w:rsidRPr="0023797C">
        <w:t xml:space="preserve"> with N=1, basic repetition can be achieved. </w:t>
      </w:r>
      <w:r w:rsidR="004C1684">
        <w:t xml:space="preserve">In this case, all SS/PBCH blocks in </w:t>
      </w:r>
      <w:r w:rsidR="004C1684">
        <w:fldChar w:fldCharType="begin"/>
      </w:r>
      <w:r w:rsidR="004C1684" w:rsidRPr="007D0014">
        <w:instrText xml:space="preserve"> REF _Ref534123387 \h </w:instrText>
      </w:r>
      <w:r w:rsidR="004C1684">
        <w:fldChar w:fldCharType="separate"/>
      </w:r>
      <w:r w:rsidR="000B4707" w:rsidRPr="0023797C">
        <w:t xml:space="preserve">Figure </w:t>
      </w:r>
      <w:r w:rsidR="000B4707">
        <w:rPr>
          <w:noProof/>
        </w:rPr>
        <w:t>1</w:t>
      </w:r>
      <w:r w:rsidR="004C1684">
        <w:fldChar w:fldCharType="end"/>
      </w:r>
      <w:r w:rsidR="004C1684" w:rsidRPr="0023797C">
        <w:t xml:space="preserve"> </w:t>
      </w:r>
      <w:r w:rsidR="004C1684">
        <w:t xml:space="preserve">have effective index Y = 0 meaning that all SS/PBCH blocks within the burst are </w:t>
      </w:r>
      <w:proofErr w:type="spellStart"/>
      <w:r w:rsidR="004C1684">
        <w:t>QCL’d</w:t>
      </w:r>
      <w:proofErr w:type="spellEnd"/>
      <w:r w:rsidR="004C1684">
        <w:t xml:space="preserve">. </w:t>
      </w:r>
      <w:r w:rsidRPr="007D0014">
        <w:t xml:space="preserve">It can be further discussed </w:t>
      </w:r>
      <w:proofErr w:type="gramStart"/>
      <w:r w:rsidRPr="007D0014">
        <w:t>whether or not</w:t>
      </w:r>
      <w:proofErr w:type="gramEnd"/>
      <w:r w:rsidRPr="007D0014">
        <w:t xml:space="preserve"> soft combining of PBCH within the same DRS transmission is supported given that the </w:t>
      </w:r>
      <w:r w:rsidR="004C1684">
        <w:t>SS/PBCH block</w:t>
      </w:r>
      <w:r w:rsidRPr="007D0014">
        <w:t xml:space="preserve"> index in PBCH must change every 8</w:t>
      </w:r>
      <w:r w:rsidRPr="007D0014">
        <w:rPr>
          <w:vertAlign w:val="superscript"/>
        </w:rPr>
        <w:t>th</w:t>
      </w:r>
      <w:r w:rsidRPr="007D0014">
        <w:t xml:space="preserve"> SS/PBCH block in order for the UE to derive frame timing.</w:t>
      </w:r>
    </w:p>
    <w:p w14:paraId="25DFA78C" w14:textId="7B365266" w:rsidR="00543EE3" w:rsidRDefault="00543EE3" w:rsidP="00543EE3">
      <w:pPr>
        <w:pStyle w:val="Heading2"/>
      </w:pPr>
      <w:r>
        <w:t>2.1</w:t>
      </w:r>
      <w:r>
        <w:tab/>
        <w:t>DRS with RMSI</w:t>
      </w:r>
      <w:r w:rsidDel="00996623">
        <w:t xml:space="preserve"> </w:t>
      </w:r>
      <w:r w:rsidR="00361438">
        <w:t>(SIB1)</w:t>
      </w:r>
    </w:p>
    <w:p w14:paraId="7D31E378" w14:textId="48B8EF48" w:rsidR="003D4906" w:rsidRDefault="00AA30CF" w:rsidP="00543EE3">
      <w:pPr>
        <w:pStyle w:val="BodyText"/>
      </w:pPr>
      <w:r>
        <w:t>In RAN1</w:t>
      </w:r>
      <w:r w:rsidR="001532CF">
        <w:t xml:space="preserve"> AH 1901, the following agreement was made:</w:t>
      </w:r>
    </w:p>
    <w:p w14:paraId="39E5B619" w14:textId="77777777" w:rsidR="001532CF" w:rsidRPr="001532CF" w:rsidRDefault="001532CF" w:rsidP="001532CF">
      <w:pPr>
        <w:overflowPunct/>
        <w:autoSpaceDE/>
        <w:autoSpaceDN/>
        <w:adjustRightInd/>
        <w:spacing w:after="0"/>
        <w:ind w:left="360"/>
        <w:textAlignment w:val="auto"/>
        <w:rPr>
          <w:rFonts w:ascii="Times" w:eastAsia="Batang" w:hAnsi="Times" w:cs="Times"/>
          <w:lang w:eastAsia="x-none"/>
        </w:rPr>
      </w:pPr>
      <w:r w:rsidRPr="001532CF">
        <w:rPr>
          <w:rFonts w:ascii="Times" w:eastAsia="Batang" w:hAnsi="Times" w:cs="Times"/>
          <w:b/>
          <w:highlight w:val="green"/>
          <w:lang w:eastAsia="x-none"/>
        </w:rPr>
        <w:t>Agreement</w:t>
      </w:r>
      <w:r w:rsidRPr="001532CF">
        <w:rPr>
          <w:rFonts w:ascii="Times" w:eastAsia="Batang" w:hAnsi="Times" w:cs="Times"/>
          <w:highlight w:val="green"/>
          <w:lang w:eastAsia="x-none"/>
        </w:rPr>
        <w:t>:</w:t>
      </w:r>
      <w:r w:rsidRPr="001532CF">
        <w:rPr>
          <w:rFonts w:ascii="Times" w:eastAsia="Batang" w:hAnsi="Times" w:cs="Times"/>
          <w:lang w:eastAsia="x-none"/>
        </w:rPr>
        <w:t xml:space="preserve"> </w:t>
      </w:r>
    </w:p>
    <w:p w14:paraId="3C87B2A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UE assumes 30KHz SCS for SS/PBCH block for 5GHz band and 6GHz band if the SCS is not indicated by higher layers.</w:t>
      </w:r>
    </w:p>
    <w:p w14:paraId="3CDD74C7" w14:textId="77777777" w:rsidR="001532CF" w:rsidRPr="001532CF" w:rsidRDefault="001532CF" w:rsidP="001532CF">
      <w:pPr>
        <w:numPr>
          <w:ilvl w:val="0"/>
          <w:numId w:val="17"/>
        </w:numPr>
        <w:overflowPunct/>
        <w:autoSpaceDE/>
        <w:autoSpaceDN/>
        <w:adjustRightInd/>
        <w:spacing w:after="0"/>
        <w:ind w:left="720"/>
        <w:textAlignment w:val="auto"/>
        <w:rPr>
          <w:rFonts w:ascii="Times" w:eastAsia="Batang" w:hAnsi="Times" w:cs="Times"/>
          <w:i/>
          <w:lang w:eastAsia="x-none"/>
        </w:rPr>
      </w:pPr>
      <w:r w:rsidRPr="001532CF">
        <w:rPr>
          <w:rFonts w:ascii="Times" w:eastAsia="Batang" w:hAnsi="Times" w:cs="Times"/>
          <w:i/>
          <w:lang w:eastAsia="x-none"/>
        </w:rPr>
        <w:t>Support configuration by higher layers of 15KHz or 30KHz SCS for SS/PBCH block</w:t>
      </w:r>
    </w:p>
    <w:p w14:paraId="16D5D468" w14:textId="77777777" w:rsidR="001532CF" w:rsidRPr="001532CF" w:rsidRDefault="001532CF" w:rsidP="00361438">
      <w:pPr>
        <w:numPr>
          <w:ilvl w:val="0"/>
          <w:numId w:val="17"/>
        </w:numPr>
        <w:overflowPunct/>
        <w:autoSpaceDE/>
        <w:autoSpaceDN/>
        <w:adjustRightInd/>
        <w:spacing w:after="120"/>
        <w:ind w:left="720"/>
        <w:textAlignment w:val="auto"/>
        <w:rPr>
          <w:rFonts w:ascii="Times" w:eastAsia="Batang" w:hAnsi="Times" w:cs="Times"/>
          <w:i/>
          <w:lang w:eastAsia="x-none"/>
        </w:rPr>
      </w:pPr>
      <w:r w:rsidRPr="001532CF">
        <w:rPr>
          <w:rFonts w:ascii="Times" w:eastAsia="Batang" w:hAnsi="Times" w:cs="Times"/>
          <w:i/>
          <w:lang w:eastAsia="x-none"/>
        </w:rPr>
        <w:t xml:space="preserve">Include this agreement in a LS to RAN4 (cc RAN2) for inclusion in specs managed by RAN4 </w:t>
      </w:r>
    </w:p>
    <w:p w14:paraId="7E9EFD10" w14:textId="4464E4B7" w:rsidR="00754EE8" w:rsidRDefault="001532CF" w:rsidP="00543EE3">
      <w:pPr>
        <w:pStyle w:val="BodyText"/>
      </w:pPr>
      <w:r>
        <w:t xml:space="preserve">which states that for the case of initial access in a standalone deployment, the UE may assume the SS/PBCH block subcarrier spacing is 30 kHz. With this agreement, we consider what changes are needed to NR-Rel-15 </w:t>
      </w:r>
      <w:proofErr w:type="gramStart"/>
      <w:r>
        <w:t>in order to</w:t>
      </w:r>
      <w:proofErr w:type="gramEnd"/>
      <w:r>
        <w:t xml:space="preserve"> achieve efficient multiplexing of SS/PBCH block(s) and RMSI PDCCH/PDSCH in a DRS</w:t>
      </w:r>
      <w:r w:rsidR="00361438">
        <w:t xml:space="preserve"> assuming 30 kHz SCS</w:t>
      </w:r>
      <w:r>
        <w:t xml:space="preserve">. </w:t>
      </w:r>
      <w:r w:rsidR="00886398">
        <w:t>In the upcoming sections, w</w:t>
      </w:r>
      <w:r>
        <w:t xml:space="preserve">e consider two cases separately: </w:t>
      </w:r>
      <w:r w:rsidR="00361438">
        <w:t xml:space="preserve">DRS with </w:t>
      </w:r>
      <w:r>
        <w:t>single SS</w:t>
      </w:r>
      <w:r w:rsidR="00361438">
        <w:t>/PBCH block</w:t>
      </w:r>
      <w:r>
        <w:t xml:space="preserve"> and multiple SS</w:t>
      </w:r>
      <w:r w:rsidR="00361438">
        <w:t>/PBCH blocks</w:t>
      </w:r>
      <w:r>
        <w:t xml:space="preserve">. We observe that the changes required </w:t>
      </w:r>
      <w:r w:rsidR="00361438">
        <w:t>to support DRS with</w:t>
      </w:r>
      <w:r>
        <w:t xml:space="preserve"> </w:t>
      </w:r>
      <w:r w:rsidR="00361438">
        <w:t xml:space="preserve">a </w:t>
      </w:r>
      <w:r>
        <w:t xml:space="preserve">single </w:t>
      </w:r>
      <w:r w:rsidR="00361438">
        <w:t>SS/PBCH block</w:t>
      </w:r>
      <w:r>
        <w:t xml:space="preserve"> are fewer than for the case of </w:t>
      </w:r>
      <w:r w:rsidR="00361438">
        <w:t xml:space="preserve">DRS with </w:t>
      </w:r>
      <w:r>
        <w:t xml:space="preserve">multiple </w:t>
      </w:r>
      <w:r w:rsidR="00361438">
        <w:t>SS/PBCH blocks</w:t>
      </w:r>
      <w:r>
        <w:t>.</w:t>
      </w:r>
      <w:r w:rsidR="002876EA">
        <w:t xml:space="preserve"> In </w:t>
      </w:r>
      <w:r w:rsidR="00754EE8">
        <w:t>both</w:t>
      </w:r>
      <w:r w:rsidR="002876EA">
        <w:t xml:space="preserve"> cases, </w:t>
      </w:r>
      <w:r w:rsidR="00754EE8">
        <w:t>the changes ensure that as large as possible number of REs are available for PDSCH carrying SIB1 considering the various multiplexing rules for SS/PBCH blocks, PDCCH, PDSCH, and DMRS that exist in the spec today.</w:t>
      </w:r>
    </w:p>
    <w:p w14:paraId="674F49DD" w14:textId="2FBE4869" w:rsidR="00886398" w:rsidRDefault="00886398" w:rsidP="00543EE3">
      <w:pPr>
        <w:pStyle w:val="BodyText"/>
      </w:pPr>
      <w:r>
        <w:t xml:space="preserve">For initial access, the PDSCH carrying SIB1 is scheduled by PDCCH in a Type0-PDCCH common search space associated with CORESET0. The </w:t>
      </w:r>
      <w:r w:rsidR="0000107E">
        <w:t xml:space="preserve">UE determines the bandwidth of CORESET0 from the four most significant bits of </w:t>
      </w:r>
      <w:r w:rsidR="0000107E" w:rsidRPr="007D0014">
        <w:rPr>
          <w:i/>
          <w:iCs/>
        </w:rPr>
        <w:t xml:space="preserve">pdcch-ConfigSIB1 </w:t>
      </w:r>
      <w:r w:rsidR="0000107E" w:rsidRPr="007D0014">
        <w:rPr>
          <w:iCs/>
        </w:rPr>
        <w:t xml:space="preserve">(included in the </w:t>
      </w:r>
      <w:r w:rsidR="0000107E" w:rsidRPr="007D0014">
        <w:rPr>
          <w:i/>
          <w:iCs/>
        </w:rPr>
        <w:t>MasterInformationBlock</w:t>
      </w:r>
      <w:r w:rsidR="0000107E" w:rsidRPr="007D0014">
        <w:rPr>
          <w:iCs/>
        </w:rPr>
        <w:t xml:space="preserve">) </w:t>
      </w:r>
      <w:r w:rsidR="0000107E">
        <w:rPr>
          <w:iCs/>
        </w:rPr>
        <w:t xml:space="preserve">which indicate a single row in one of </w:t>
      </w:r>
      <w:r w:rsidR="0000107E" w:rsidRPr="007D0014">
        <w:t xml:space="preserve">Tables 13-1 through 13-10 in </w:t>
      </w:r>
      <w:r w:rsidR="000B4707">
        <w:fldChar w:fldCharType="begin"/>
      </w:r>
      <w:r w:rsidR="000B4707">
        <w:instrText xml:space="preserve"> REF _Ref534892220 \r \h </w:instrText>
      </w:r>
      <w:r w:rsidR="000B4707">
        <w:fldChar w:fldCharType="separate"/>
      </w:r>
      <w:r w:rsidR="000B4707">
        <w:t>[5]</w:t>
      </w:r>
      <w:r w:rsidR="000B4707">
        <w:fldChar w:fldCharType="end"/>
      </w:r>
      <w:r w:rsidR="0000107E">
        <w:t xml:space="preserve">. For the case SS/PBCH block and CORESET0 using 30 kHz SCS, the appropriate table is 13-4. The two options for CORESET0 bandwidth in this table are 24 and 48 PRBs. However, based on the following agreement in the SI phase (see </w:t>
      </w:r>
      <w:r w:rsidR="0000107E">
        <w:rPr>
          <w:iCs/>
        </w:rPr>
        <w:fldChar w:fldCharType="begin"/>
      </w:r>
      <w:r w:rsidR="0000107E" w:rsidRPr="007D0014">
        <w:rPr>
          <w:iCs/>
        </w:rPr>
        <w:instrText xml:space="preserve"> REF _Ref534117348 \r \h </w:instrText>
      </w:r>
      <w:r w:rsidR="0000107E">
        <w:rPr>
          <w:iCs/>
        </w:rPr>
      </w:r>
      <w:r w:rsidR="0000107E">
        <w:rPr>
          <w:iCs/>
        </w:rPr>
        <w:fldChar w:fldCharType="separate"/>
      </w:r>
      <w:r w:rsidR="000B4707">
        <w:rPr>
          <w:iCs/>
        </w:rPr>
        <w:t>[1]</w:t>
      </w:r>
      <w:r w:rsidR="0000107E">
        <w:rPr>
          <w:iCs/>
        </w:rPr>
        <w:fldChar w:fldCharType="end"/>
      </w:r>
      <w:r w:rsidR="0000107E" w:rsidRPr="0023797C">
        <w:rPr>
          <w:iCs/>
        </w:rPr>
        <w:t>, Section 7.2.1</w:t>
      </w:r>
      <w:r w:rsidR="0000107E">
        <w:t>),</w:t>
      </w:r>
    </w:p>
    <w:p w14:paraId="79710A8C" w14:textId="77777777" w:rsidR="0000107E" w:rsidRPr="007D0014" w:rsidRDefault="0000107E" w:rsidP="0000107E">
      <w:pPr>
        <w:pStyle w:val="BodyText"/>
        <w:ind w:left="567"/>
        <w:rPr>
          <w:i/>
          <w:iCs/>
        </w:rPr>
      </w:pPr>
      <w:r w:rsidRPr="007D0014">
        <w:rPr>
          <w:i/>
        </w:rPr>
        <w:t>Initial active DL/UL BWP is approximately 20MHz for 5GHz band, though the final value will be quantized to number of PRBs. Initial active DL/UL BWP is approximately 20MHz for 6GHz band if similar channelization as 5GHz band is used for 6GHz band.</w:t>
      </w:r>
      <w:r w:rsidRPr="007D0014">
        <w:rPr>
          <w:i/>
          <w:iCs/>
        </w:rPr>
        <w:t xml:space="preserve"> </w:t>
      </w:r>
    </w:p>
    <w:p w14:paraId="6D212A9E" w14:textId="5557E50D" w:rsidR="00886398" w:rsidRDefault="0000107E" w:rsidP="00543EE3">
      <w:pPr>
        <w:pStyle w:val="BodyText"/>
      </w:pPr>
      <w:r>
        <w:t xml:space="preserve">we propose the following </w:t>
      </w:r>
      <w:r w:rsidR="001759B1">
        <w:t>at least for the case of 20 MHz carriers in unlicensed bands</w:t>
      </w:r>
      <w:r w:rsidR="00603A16">
        <w:t>:</w:t>
      </w:r>
    </w:p>
    <w:p w14:paraId="41C62E0B" w14:textId="734BD3B8" w:rsidR="0000107E" w:rsidRDefault="001759B1" w:rsidP="001759B1">
      <w:pPr>
        <w:pStyle w:val="Proposal"/>
      </w:pPr>
      <w:bookmarkStart w:id="25" w:name="_Toc1070637"/>
      <w:r>
        <w:t xml:space="preserve">The </w:t>
      </w:r>
      <w:r w:rsidR="0000107E">
        <w:t xml:space="preserve">UE expects to be configured with </w:t>
      </w:r>
      <w:r>
        <w:t>CORESET0 bandwidth of 48 PRBs at least for the case for 20 MHz carriers in unlicensed bands.</w:t>
      </w:r>
      <w:bookmarkEnd w:id="25"/>
    </w:p>
    <w:p w14:paraId="701E82E7" w14:textId="0597250C" w:rsidR="00886398" w:rsidRDefault="001759B1" w:rsidP="00543EE3">
      <w:pPr>
        <w:pStyle w:val="BodyText"/>
      </w:pPr>
      <w:r>
        <w:t>The PDSCH carrying</w:t>
      </w:r>
      <w:r w:rsidR="00853D82">
        <w:t xml:space="preserve"> </w:t>
      </w:r>
      <w:r w:rsidR="00361438">
        <w:t>SIB1 is scheduled by</w:t>
      </w:r>
      <w:r w:rsidR="00754EE8">
        <w:t xml:space="preserve"> DCI format 1_0 where the CRC is scrambled by SI-RNTI and where the System Information Indicator field in DCI is set to 0.</w:t>
      </w:r>
      <w:r>
        <w:t xml:space="preserve"> We observe that for such scheduling, only Type 0 resource allocation in the frequency domain is supported, i.e., PDSCH occupies a set of contiguous resource blocks (RBs). Furthermore, the set of contiguous RBs lie within the same bandwidth of CORESET0.</w:t>
      </w:r>
    </w:p>
    <w:p w14:paraId="58EDBBC2" w14:textId="0BB582D1" w:rsidR="007B0A1F" w:rsidRDefault="007B0A1F" w:rsidP="007B0A1F">
      <w:pPr>
        <w:pStyle w:val="Observation"/>
      </w:pPr>
      <w:bookmarkStart w:id="26" w:name="_Toc972470"/>
      <w:bookmarkStart w:id="27" w:name="_Toc973387"/>
      <w:bookmarkStart w:id="28" w:name="_Toc973521"/>
      <w:bookmarkStart w:id="29" w:name="_Toc973856"/>
      <w:bookmarkStart w:id="30" w:name="_Toc974197"/>
      <w:bookmarkStart w:id="31" w:name="_Toc976223"/>
      <w:r>
        <w:lastRenderedPageBreak/>
        <w:t>DCI format 1_0 used to schedule PDSCH carrying SIB1 supports only Type0</w:t>
      </w:r>
      <w:r w:rsidR="00603A16">
        <w:t xml:space="preserve"> PDSCH</w:t>
      </w:r>
      <w:r>
        <w:t xml:space="preserve"> resource allocation (contiguous RBs) in the frequency domain</w:t>
      </w:r>
      <w:r w:rsidR="00307772">
        <w:t>.</w:t>
      </w:r>
      <w:bookmarkEnd w:id="26"/>
      <w:bookmarkEnd w:id="27"/>
      <w:bookmarkEnd w:id="28"/>
      <w:bookmarkEnd w:id="29"/>
      <w:bookmarkEnd w:id="30"/>
      <w:bookmarkEnd w:id="31"/>
      <w:r>
        <w:t xml:space="preserve"> </w:t>
      </w:r>
    </w:p>
    <w:p w14:paraId="01DFED68" w14:textId="6BA3FB06" w:rsidR="00754EE8" w:rsidRDefault="00754EE8" w:rsidP="00853D82">
      <w:pPr>
        <w:pStyle w:val="BodyText"/>
      </w:pPr>
      <w:r>
        <w:t xml:space="preserve">In what follows, we adhere to </w:t>
      </w:r>
      <w:r w:rsidR="001759B1">
        <w:t xml:space="preserve">this </w:t>
      </w:r>
      <w:r>
        <w:t xml:space="preserve">constraint </w:t>
      </w:r>
      <w:proofErr w:type="gramStart"/>
      <w:r>
        <w:t>so as to</w:t>
      </w:r>
      <w:proofErr w:type="gramEnd"/>
      <w:r>
        <w:t xml:space="preserve"> avoid introducing a new DCI format</w:t>
      </w:r>
      <w:r w:rsidR="00307772">
        <w:t xml:space="preserve"> for scheduling SIB1.</w:t>
      </w:r>
    </w:p>
    <w:p w14:paraId="4D866F02" w14:textId="3ECA5039" w:rsidR="001532CF" w:rsidRDefault="00361438" w:rsidP="00361438">
      <w:pPr>
        <w:pStyle w:val="Heading3"/>
      </w:pPr>
      <w:r>
        <w:t>2.1.1</w:t>
      </w:r>
      <w:r>
        <w:tab/>
        <w:t>DRS with Single SS/PBCH Block</w:t>
      </w:r>
    </w:p>
    <w:p w14:paraId="2E889FED" w14:textId="3797790C" w:rsidR="00603A16" w:rsidRDefault="00D92336" w:rsidP="00D92336">
      <w:pPr>
        <w:pStyle w:val="BodyText"/>
        <w:rPr>
          <w:color w:val="000000"/>
        </w:rPr>
      </w:pPr>
      <w:r>
        <w:t>In this section, we consider a DRS with only a single SS/PBCH block. This configurat</w:t>
      </w:r>
      <w:r w:rsidR="00322485">
        <w:t xml:space="preserve">ion is typical in FR1 deployments if neither repeated SSBs nor beamformed SSBs are needed. </w:t>
      </w:r>
      <w:proofErr w:type="gramStart"/>
      <w:r w:rsidR="00322485">
        <w:t>In order to</w:t>
      </w:r>
      <w:proofErr w:type="gramEnd"/>
      <w:r w:rsidR="00322485">
        <w:t xml:space="preserve"> avoid time gaps in the DRS pattern, it is beneficial to multiplex the SS/PBCH block and the PDSCH carrying SIB1 in the frequency domain. Furthermore, </w:t>
      </w:r>
      <w:proofErr w:type="gramStart"/>
      <w:r w:rsidR="00322485">
        <w:t>in order to</w:t>
      </w:r>
      <w:proofErr w:type="gramEnd"/>
      <w:r w:rsidR="00322485">
        <w:t xml:space="preserve"> adhere to the contiguous resource allocation for PDSCH signalled by DCI Format 1_0 and at the same time maximize the number of REs available for SIB1, it is beneficial to locate the SS/PBCH block at one edge of the initial BWP. Such a configuration is illustrated in </w:t>
      </w:r>
      <w:r w:rsidR="00184B97">
        <w:fldChar w:fldCharType="begin"/>
      </w:r>
      <w:r w:rsidR="00184B97">
        <w:instrText xml:space="preserve"> REF _Ref881006 \h </w:instrText>
      </w:r>
      <w:r w:rsidR="00184B97">
        <w:fldChar w:fldCharType="separate"/>
      </w:r>
      <w:r w:rsidR="000B4707">
        <w:t xml:space="preserve">Figure </w:t>
      </w:r>
      <w:r w:rsidR="000B4707">
        <w:rPr>
          <w:noProof/>
        </w:rPr>
        <w:t>2</w:t>
      </w:r>
      <w:r w:rsidR="00184B97">
        <w:fldChar w:fldCharType="end"/>
      </w:r>
      <w:r w:rsidR="00184B97">
        <w:t>.</w:t>
      </w:r>
      <w:r w:rsidR="002F788A">
        <w:t xml:space="preserve"> This assumes that the SS/PBCH block </w:t>
      </w:r>
      <w:proofErr w:type="gramStart"/>
      <w:r w:rsidR="002F788A">
        <w:t>is located in</w:t>
      </w:r>
      <w:proofErr w:type="gramEnd"/>
      <w:r w:rsidR="002F788A">
        <w:t xml:space="preserve"> the first position of the Case C time domain pattern, i.e., OFDM symbols 2, 3, 4, and 5 assuming indexing starts with zero. </w:t>
      </w:r>
      <w:r w:rsidR="00150BCC">
        <w:t xml:space="preserve">While the case of a 2 symbol </w:t>
      </w:r>
      <w:r w:rsidR="000A5AFB">
        <w:t xml:space="preserve">Type0-PDCCH common </w:t>
      </w:r>
      <w:r w:rsidR="00150BCC">
        <w:t xml:space="preserve">search space is shown, the same multiplexing </w:t>
      </w:r>
      <w:r w:rsidR="000A5AFB">
        <w:t xml:space="preserve">approach may be used for a single symbol search space in which case the PDSCH allocation would start in OFDM symbol 1. The time domain PDSCH allocation is indicated by the 4-bit field of DCI Format 1_0 that indicates a row of the </w:t>
      </w:r>
      <w:r w:rsidR="000A5AFB" w:rsidRPr="0020468D">
        <w:rPr>
          <w:color w:val="000000"/>
        </w:rPr>
        <w:t>Table 5.1.2.1.1-2</w:t>
      </w:r>
      <w:r w:rsidR="000A5AFB">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0B4707">
        <w:rPr>
          <w:color w:val="000000"/>
        </w:rPr>
        <w:t>[6]</w:t>
      </w:r>
      <w:r w:rsidR="000B4707">
        <w:rPr>
          <w:color w:val="000000"/>
        </w:rPr>
        <w:fldChar w:fldCharType="end"/>
      </w:r>
      <w:r w:rsidR="000A5AFB">
        <w:rPr>
          <w:color w:val="000000"/>
        </w:rPr>
        <w:t xml:space="preserve"> (Default Table A).</w:t>
      </w:r>
      <w:r w:rsidR="00603A16">
        <w:rPr>
          <w:color w:val="000000"/>
        </w:rPr>
        <w:t xml:space="preserve"> For the case of 2-symbol and 1-symbol search space configuration, Row Index 1 and 12 are applicable, respectively. Both correspond to PDSCH Mapping </w:t>
      </w:r>
      <w:proofErr w:type="spellStart"/>
      <w:r w:rsidR="00603A16">
        <w:rPr>
          <w:color w:val="000000"/>
        </w:rPr>
        <w:t>TypeA</w:t>
      </w:r>
      <w:proofErr w:type="spellEnd"/>
      <w:r w:rsidR="00603A16">
        <w:rPr>
          <w:color w:val="000000"/>
        </w:rPr>
        <w:t>.</w:t>
      </w:r>
    </w:p>
    <w:p w14:paraId="09B71F83" w14:textId="534A5CDA" w:rsidR="00D92336" w:rsidRDefault="00E97ED4" w:rsidP="00D92336">
      <w:pPr>
        <w:pStyle w:val="BodyText"/>
      </w:pPr>
      <w:r>
        <w:t xml:space="preserve">Assuming a PDSCH contiguous bandwidth of 28 PRBs </w:t>
      </w:r>
      <w:r w:rsidR="008D3FA0">
        <w:t xml:space="preserve">(CORSET0 BW - SS/PBCH block BW) </w:t>
      </w:r>
      <w:r>
        <w:t>and a</w:t>
      </w:r>
      <w:r w:rsidR="002F788A">
        <w:t xml:space="preserve">ccounting for the </w:t>
      </w:r>
      <w:r>
        <w:t xml:space="preserve">3 </w:t>
      </w:r>
      <w:r w:rsidR="002F788A">
        <w:t>OFDM symbols used for DMRS</w:t>
      </w:r>
      <w:r>
        <w:t>, the number of available REs for PDSCH carrying SIB1 is 3024</w:t>
      </w:r>
      <w:r w:rsidR="00603A16">
        <w:t xml:space="preserve"> for the case of a 2-symbol search space</w:t>
      </w:r>
      <w:r>
        <w:t>. Assuming the most robust MCS is used for SIB1 transmission</w:t>
      </w:r>
      <w:r w:rsidR="005B6351">
        <w:t xml:space="preserve"> (MCS0)</w:t>
      </w:r>
      <w:r>
        <w:t>, the SIB1 information bit payload is 708 bits.</w:t>
      </w:r>
    </w:p>
    <w:p w14:paraId="45C710DC" w14:textId="5230270B" w:rsidR="00184B97" w:rsidRDefault="002F788A" w:rsidP="00184B97">
      <w:pPr>
        <w:pStyle w:val="BodyText"/>
        <w:keepNext/>
        <w:jc w:val="center"/>
      </w:pPr>
      <w:r w:rsidRPr="002F788A">
        <w:rPr>
          <w:noProof/>
        </w:rPr>
        <w:drawing>
          <wp:inline distT="0" distB="0" distL="0" distR="0" wp14:anchorId="5F6130F1" wp14:editId="2D7461DD">
            <wp:extent cx="6400800" cy="14264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2796"/>
                    <a:stretch/>
                  </pic:blipFill>
                  <pic:spPr bwMode="auto">
                    <a:xfrm>
                      <a:off x="0" y="0"/>
                      <a:ext cx="6400800" cy="1426464"/>
                    </a:xfrm>
                    <a:prstGeom prst="rect">
                      <a:avLst/>
                    </a:prstGeom>
                    <a:noFill/>
                    <a:ln>
                      <a:noFill/>
                    </a:ln>
                    <a:extLst>
                      <a:ext uri="{53640926-AAD7-44D8-BBD7-CCE9431645EC}">
                        <a14:shadowObscured xmlns:a14="http://schemas.microsoft.com/office/drawing/2010/main"/>
                      </a:ext>
                    </a:extLst>
                  </pic:spPr>
                </pic:pic>
              </a:graphicData>
            </a:graphic>
          </wp:inline>
        </w:drawing>
      </w:r>
    </w:p>
    <w:p w14:paraId="0ECE9F48" w14:textId="611E7D3E" w:rsidR="00322485" w:rsidRDefault="00184B97" w:rsidP="00184B97">
      <w:pPr>
        <w:pStyle w:val="Caption"/>
        <w:jc w:val="center"/>
        <w:rPr>
          <w:noProof/>
        </w:rPr>
      </w:pPr>
      <w:bookmarkStart w:id="32" w:name="_Ref881006"/>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0B4707">
        <w:rPr>
          <w:noProof/>
        </w:rPr>
        <w:t>2</w:t>
      </w:r>
      <w:r w:rsidR="00642536">
        <w:rPr>
          <w:noProof/>
        </w:rPr>
        <w:fldChar w:fldCharType="end"/>
      </w:r>
      <w:bookmarkEnd w:id="32"/>
      <w:r>
        <w:t xml:space="preserve">: DRS with FDM multiplexing </w:t>
      </w:r>
      <w:r>
        <w:rPr>
          <w:noProof/>
        </w:rPr>
        <w:t>PDSCH carrying SIB1 and a single SS/PBCH block</w:t>
      </w:r>
      <w:r w:rsidR="005F4BA4">
        <w:rPr>
          <w:noProof/>
        </w:rPr>
        <w:t xml:space="preserve"> with 0 RB offset between CORESET0 and the SS/PBCH block.</w:t>
      </w:r>
    </w:p>
    <w:p w14:paraId="57AF3339" w14:textId="1FF9F95B" w:rsidR="002F788A" w:rsidRDefault="002F788A" w:rsidP="002F788A">
      <w:pPr>
        <w:pStyle w:val="BodyText"/>
      </w:pPr>
      <w:r>
        <w:t>The only new aspect of this configuration</w:t>
      </w:r>
      <w:r w:rsidR="00A51457">
        <w:t xml:space="preserve"> compared to NR Rel-15</w:t>
      </w:r>
      <w:r>
        <w:t xml:space="preserve"> is that the SS/PBCH block is located at the edge of the initial BWP which implies an offset of 0 RBs in Table 3-4 of </w:t>
      </w:r>
      <w:r w:rsidR="000B4707">
        <w:fldChar w:fldCharType="begin"/>
      </w:r>
      <w:r w:rsidR="000B4707">
        <w:instrText xml:space="preserve"> REF _Ref534892220 \r \h </w:instrText>
      </w:r>
      <w:r w:rsidR="000B4707">
        <w:fldChar w:fldCharType="separate"/>
      </w:r>
      <w:r w:rsidR="000B4707">
        <w:t>[5]</w:t>
      </w:r>
      <w:r w:rsidR="000B4707">
        <w:fldChar w:fldCharType="end"/>
      </w:r>
      <w:r>
        <w:t xml:space="preserve">. </w:t>
      </w:r>
      <w:r w:rsidR="00E97ED4">
        <w:t>In Rel-15,</w:t>
      </w:r>
      <w:r>
        <w:t xml:space="preserve"> only offsets of 12, 14, and 16 PRBs are supported which means that the SS/PBCH block would </w:t>
      </w:r>
      <w:proofErr w:type="gramStart"/>
      <w:r>
        <w:t>be located in</w:t>
      </w:r>
      <w:proofErr w:type="gramEnd"/>
      <w:r>
        <w:t xml:space="preserve"> approximately the middle of the initial BWP. The problem with this is that </w:t>
      </w:r>
      <w:r w:rsidR="00E97ED4">
        <w:t xml:space="preserve">it would reduce the number of SIB1 payload bits by roughly 50% </w:t>
      </w:r>
      <w:r w:rsidR="00603A16">
        <w:t xml:space="preserve">to ~350 bits, </w:t>
      </w:r>
      <w:r w:rsidR="00E97ED4">
        <w:t>since only contiguous resource allocation for PDSCH is supported in DCI Format 1_0. Clearly, there is a benefit to extending the configurability of the offset</w:t>
      </w:r>
      <w:r w:rsidR="00603A16">
        <w:t xml:space="preserve"> to maximize SIB</w:t>
      </w:r>
      <w:r w:rsidR="00A51457">
        <w:t>1</w:t>
      </w:r>
      <w:r w:rsidR="00603A16">
        <w:t xml:space="preserve"> payload.</w:t>
      </w:r>
    </w:p>
    <w:p w14:paraId="4C1AA6E5" w14:textId="577553C4" w:rsidR="00E97ED4" w:rsidRPr="002F788A" w:rsidRDefault="00C75E64" w:rsidP="005F4BA4">
      <w:pPr>
        <w:pStyle w:val="Proposal"/>
      </w:pPr>
      <w:bookmarkStart w:id="33" w:name="_Ref959332"/>
      <w:bookmarkStart w:id="34" w:name="_Toc1070638"/>
      <w:r>
        <w:t>In a DRS containing RMSI</w:t>
      </w:r>
      <w:r w:rsidR="005F4BA4">
        <w:t>, s</w:t>
      </w:r>
      <w:r w:rsidR="00E97ED4">
        <w:t>upport a 0 RB offset between CORESET0 and the SS/PBCH block</w:t>
      </w:r>
      <w:r w:rsidR="005F4BA4">
        <w:t>(s).</w:t>
      </w:r>
      <w:bookmarkEnd w:id="33"/>
      <w:bookmarkEnd w:id="34"/>
    </w:p>
    <w:p w14:paraId="68DE4FD2" w14:textId="6943AB9D" w:rsidR="00361438" w:rsidRDefault="00361438" w:rsidP="00361438">
      <w:pPr>
        <w:pStyle w:val="Heading3"/>
      </w:pPr>
      <w:r>
        <w:t>2.1.2</w:t>
      </w:r>
      <w:r>
        <w:tab/>
        <w:t>DRS with Multiple SS/PBCH Blocks</w:t>
      </w:r>
    </w:p>
    <w:p w14:paraId="7818DED3" w14:textId="4D284614" w:rsidR="000D45B5" w:rsidRDefault="00603A16" w:rsidP="0070114A">
      <w:pPr>
        <w:pStyle w:val="BodyText"/>
      </w:pPr>
      <w:r>
        <w:t xml:space="preserve">In this section, we consider a DRS with multiple SS/PBCH blocks, i.e., 2 per slot. </w:t>
      </w:r>
      <w:r w:rsidR="00817F84">
        <w:t xml:space="preserve">For this case, additional changes are needed to the Rel-15 spec. </w:t>
      </w:r>
      <w:r>
        <w:t xml:space="preserve">For initial access, the UE determines the </w:t>
      </w:r>
      <w:r w:rsidR="00A51457">
        <w:t xml:space="preserve">monitoring occasions of the Type0-PDCCH common search space from the four least significant bits of </w:t>
      </w:r>
      <w:r w:rsidR="00A51457" w:rsidRPr="007D0014">
        <w:rPr>
          <w:i/>
          <w:iCs/>
        </w:rPr>
        <w:t xml:space="preserve">pdcch-ConfigSIB1 </w:t>
      </w:r>
      <w:r w:rsidR="00A51457" w:rsidRPr="007D0014">
        <w:rPr>
          <w:iCs/>
        </w:rPr>
        <w:t xml:space="preserve">(included in the </w:t>
      </w:r>
      <w:r w:rsidR="00A51457" w:rsidRPr="007D0014">
        <w:rPr>
          <w:i/>
          <w:iCs/>
        </w:rPr>
        <w:t>MasterInformationBlock</w:t>
      </w:r>
      <w:r w:rsidR="00A51457" w:rsidRPr="007D0014">
        <w:rPr>
          <w:iCs/>
        </w:rPr>
        <w:t xml:space="preserve">) </w:t>
      </w:r>
      <w:r w:rsidR="00A51457">
        <w:rPr>
          <w:iCs/>
        </w:rPr>
        <w:t xml:space="preserve">which indicate a single row in one of </w:t>
      </w:r>
      <w:r w:rsidR="00A51457" w:rsidRPr="007D0014">
        <w:t>Tables 13-</w:t>
      </w:r>
      <w:r w:rsidR="00A51457">
        <w:t>11</w:t>
      </w:r>
      <w:r w:rsidR="00A51457" w:rsidRPr="007D0014">
        <w:t xml:space="preserve"> through 13-1</w:t>
      </w:r>
      <w:r w:rsidR="00A51457">
        <w:t>5</w:t>
      </w:r>
      <w:r w:rsidR="00A51457" w:rsidRPr="007D0014">
        <w:t xml:space="preserve"> in </w:t>
      </w:r>
      <w:r w:rsidR="000B4707">
        <w:fldChar w:fldCharType="begin"/>
      </w:r>
      <w:r w:rsidR="000B4707">
        <w:instrText xml:space="preserve"> REF _Ref534892220 \r \h </w:instrText>
      </w:r>
      <w:r w:rsidR="000B4707">
        <w:fldChar w:fldCharType="separate"/>
      </w:r>
      <w:r w:rsidR="000B4707">
        <w:t>[5]</w:t>
      </w:r>
      <w:r w:rsidR="000B4707">
        <w:fldChar w:fldCharType="end"/>
      </w:r>
      <w:r w:rsidR="00A51457">
        <w:t>.</w:t>
      </w:r>
      <w:r w:rsidR="00A51457" w:rsidRPr="00A51457">
        <w:t xml:space="preserve"> </w:t>
      </w:r>
      <w:r w:rsidR="00A51457">
        <w:t xml:space="preserve">For the case of FR1 with SS/PBCH block and CORESET multiplexing pattern 1, the appropriate table is 13-11. To configure the PDCCH search space and the corresponding SS/PBCH block in the same slot, use of a configuration with O = 0 and 2 search space sets per slot can achieve this, e.g., Row Index 1 in Table 13-11. </w:t>
      </w:r>
      <w:r w:rsidR="00A51457" w:rsidRPr="007D0014">
        <w:t xml:space="preserve">However, in Table 13-11 all configurations have the second PDCCH monitoring occasion starting in the symbol </w:t>
      </w:r>
      <w:r w:rsidR="00A51457">
        <w:t xml:space="preserve">right </w:t>
      </w:r>
      <w:r w:rsidR="00A51457" w:rsidRPr="007D0014">
        <w:t>after the first PDCCH monitoring occasion.</w:t>
      </w:r>
      <w:r w:rsidR="00A51457">
        <w:t xml:space="preserve"> For a DRS with 2 SS/PBCH blocks per slot, it is beneficial</w:t>
      </w:r>
      <w:r w:rsidR="000D45B5">
        <w:t xml:space="preserve"> instead to have the first and 2</w:t>
      </w:r>
      <w:r w:rsidR="000D45B5" w:rsidRPr="000D45B5">
        <w:rPr>
          <w:vertAlign w:val="superscript"/>
        </w:rPr>
        <w:t>nd</w:t>
      </w:r>
      <w:r w:rsidR="000D45B5">
        <w:t xml:space="preserve"> monitoring occasions in the first and 2</w:t>
      </w:r>
      <w:r w:rsidR="000D45B5" w:rsidRPr="000D45B5">
        <w:rPr>
          <w:vertAlign w:val="superscript"/>
        </w:rPr>
        <w:t>nd</w:t>
      </w:r>
      <w:r w:rsidR="000D45B5">
        <w:t xml:space="preserve"> half slots, respectively. For this </w:t>
      </w:r>
      <w:proofErr w:type="gramStart"/>
      <w:r w:rsidR="006A53DD">
        <w:t>reason</w:t>
      </w:r>
      <w:proofErr w:type="gramEnd"/>
      <w:r w:rsidR="000D45B5">
        <w:t xml:space="preserve"> the following agreement was made in RAN1 AH 1901:</w:t>
      </w:r>
    </w:p>
    <w:p w14:paraId="2B016CE0" w14:textId="77777777" w:rsidR="00603A16" w:rsidRPr="001243DE" w:rsidRDefault="00603A16" w:rsidP="00603A16">
      <w:pPr>
        <w:spacing w:after="0"/>
        <w:ind w:left="567"/>
        <w:rPr>
          <w:rFonts w:cs="Times"/>
          <w:lang w:eastAsia="x-none"/>
        </w:rPr>
      </w:pPr>
      <w:r w:rsidRPr="00603A16">
        <w:rPr>
          <w:rFonts w:cs="Times"/>
          <w:b/>
          <w:highlight w:val="green"/>
          <w:lang w:eastAsia="x-none"/>
        </w:rPr>
        <w:lastRenderedPageBreak/>
        <w:t>Agreement</w:t>
      </w:r>
      <w:r w:rsidRPr="001243DE">
        <w:rPr>
          <w:rFonts w:cs="Times"/>
          <w:highlight w:val="green"/>
          <w:lang w:eastAsia="x-none"/>
        </w:rPr>
        <w:t>:</w:t>
      </w:r>
    </w:p>
    <w:p w14:paraId="70BA9FDE" w14:textId="77777777" w:rsidR="00603A16" w:rsidRPr="00603A16" w:rsidRDefault="00603A16" w:rsidP="00603A16">
      <w:pPr>
        <w:ind w:left="567"/>
        <w:rPr>
          <w:rFonts w:cs="Times"/>
          <w:i/>
          <w:lang w:eastAsia="x-none"/>
        </w:rPr>
      </w:pPr>
      <w:r w:rsidRPr="00603A16">
        <w:rPr>
          <w:rFonts w:cs="Times"/>
          <w:i/>
          <w:lang w:eastAsia="x-none"/>
        </w:rPr>
        <w:t>The Type0-PDCCH monitoring configuration for NR-U should satisfy at least the following properties:</w:t>
      </w:r>
    </w:p>
    <w:p w14:paraId="42940754"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 xml:space="preserve">TDM of Type0-PDCCH and SSB </w:t>
      </w:r>
      <w:proofErr w:type="gramStart"/>
      <w:r w:rsidRPr="00603A16">
        <w:rPr>
          <w:rFonts w:cs="Times"/>
          <w:i/>
          <w:lang w:eastAsia="x-none"/>
        </w:rPr>
        <w:t>similar to</w:t>
      </w:r>
      <w:proofErr w:type="gramEnd"/>
      <w:r w:rsidRPr="00603A16">
        <w:rPr>
          <w:rFonts w:cs="Times"/>
          <w:i/>
          <w:lang w:eastAsia="x-none"/>
        </w:rPr>
        <w:t xml:space="preserve"> existing pattern 1 (already agreed)</w:t>
      </w:r>
    </w:p>
    <w:p w14:paraId="43E9E8C6" w14:textId="77777777" w:rsidR="00603A16" w:rsidRPr="00603A16" w:rsidRDefault="00603A16" w:rsidP="00603A16">
      <w:pPr>
        <w:numPr>
          <w:ilvl w:val="0"/>
          <w:numId w:val="18"/>
        </w:numPr>
        <w:overflowPunct/>
        <w:autoSpaceDE/>
        <w:autoSpaceDN/>
        <w:adjustRightInd/>
        <w:spacing w:after="0"/>
        <w:ind w:left="927"/>
        <w:textAlignment w:val="auto"/>
        <w:rPr>
          <w:rFonts w:cs="Times"/>
          <w:i/>
          <w:lang w:eastAsia="x-none"/>
        </w:rPr>
      </w:pPr>
      <w:r w:rsidRPr="00603A16">
        <w:rPr>
          <w:rFonts w:cs="Times"/>
          <w:i/>
          <w:lang w:eastAsia="x-none"/>
        </w:rPr>
        <w:t>Support the monitoring of Type0 PDCCH of the 2</w:t>
      </w:r>
      <w:r w:rsidRPr="00603A16">
        <w:rPr>
          <w:rFonts w:cs="Times"/>
          <w:i/>
          <w:vertAlign w:val="superscript"/>
          <w:lang w:eastAsia="x-none"/>
        </w:rPr>
        <w:t>nd</w:t>
      </w:r>
      <w:r w:rsidRPr="00603A16">
        <w:rPr>
          <w:rFonts w:cs="Times"/>
          <w:i/>
          <w:lang w:eastAsia="x-none"/>
        </w:rPr>
        <w:t xml:space="preserve"> SSB position in a slot in the gap between 1</w:t>
      </w:r>
      <w:r w:rsidRPr="00603A16">
        <w:rPr>
          <w:rFonts w:cs="Times"/>
          <w:i/>
          <w:vertAlign w:val="superscript"/>
          <w:lang w:eastAsia="x-none"/>
        </w:rPr>
        <w:t>st</w:t>
      </w:r>
      <w:r w:rsidRPr="00603A16">
        <w:rPr>
          <w:rFonts w:cs="Times"/>
          <w:i/>
          <w:lang w:eastAsia="x-none"/>
        </w:rPr>
        <w:t xml:space="preserve"> and 2</w:t>
      </w:r>
      <w:r w:rsidRPr="00603A16">
        <w:rPr>
          <w:rFonts w:cs="Times"/>
          <w:i/>
          <w:vertAlign w:val="superscript"/>
          <w:lang w:eastAsia="x-none"/>
        </w:rPr>
        <w:t>nd</w:t>
      </w:r>
      <w:r w:rsidRPr="00603A16">
        <w:rPr>
          <w:rFonts w:cs="Times"/>
          <w:i/>
          <w:lang w:eastAsia="x-none"/>
        </w:rPr>
        <w:t xml:space="preserve"> SSB within the slot</w:t>
      </w:r>
    </w:p>
    <w:p w14:paraId="7F93C3CD" w14:textId="77777777" w:rsidR="00603A16" w:rsidRPr="00603A16" w:rsidRDefault="00603A16" w:rsidP="00603A16">
      <w:pPr>
        <w:numPr>
          <w:ilvl w:val="1"/>
          <w:numId w:val="18"/>
        </w:numPr>
        <w:overflowPunct/>
        <w:autoSpaceDE/>
        <w:autoSpaceDN/>
        <w:adjustRightInd/>
        <w:spacing w:after="0"/>
        <w:ind w:left="1647"/>
        <w:textAlignment w:val="auto"/>
        <w:rPr>
          <w:rFonts w:cs="Times"/>
          <w:i/>
          <w:lang w:eastAsia="x-none"/>
        </w:rPr>
      </w:pPr>
      <w:r w:rsidRPr="00603A16">
        <w:rPr>
          <w:rFonts w:cs="Times"/>
          <w:i/>
          <w:lang w:eastAsia="x-none"/>
        </w:rPr>
        <w:t>FFS start at symbol #6 of #7 or both</w:t>
      </w:r>
    </w:p>
    <w:p w14:paraId="62CB8170" w14:textId="77777777" w:rsidR="00603A16" w:rsidRPr="00603A16" w:rsidRDefault="00603A16" w:rsidP="000D45B5">
      <w:pPr>
        <w:numPr>
          <w:ilvl w:val="0"/>
          <w:numId w:val="18"/>
        </w:numPr>
        <w:overflowPunct/>
        <w:autoSpaceDE/>
        <w:autoSpaceDN/>
        <w:adjustRightInd/>
        <w:spacing w:after="120"/>
        <w:ind w:left="922"/>
        <w:textAlignment w:val="auto"/>
        <w:rPr>
          <w:rFonts w:cs="Times"/>
          <w:i/>
          <w:lang w:eastAsia="x-none"/>
        </w:rPr>
      </w:pPr>
      <w:r w:rsidRPr="00603A16">
        <w:rPr>
          <w:rFonts w:cs="Times"/>
          <w:i/>
          <w:lang w:eastAsia="x-none"/>
        </w:rPr>
        <w:t>FFS: The Type0-PDCCH candidates associated with an SSB are confined within a slot carrying the associated SSB (with the same QCL assumptions)</w:t>
      </w:r>
    </w:p>
    <w:p w14:paraId="05D0CCCB" w14:textId="06EF51F4" w:rsidR="000D45B5" w:rsidRDefault="000D45B5" w:rsidP="0070114A">
      <w:pPr>
        <w:pStyle w:val="BodyText"/>
      </w:pPr>
      <w:r>
        <w:t>For the Case C time domain pattern</w:t>
      </w:r>
      <w:r w:rsidR="006A53DD">
        <w:t xml:space="preserve"> supported in NR Rel-15,</w:t>
      </w:r>
      <w:r w:rsidR="00C75E64">
        <w:t xml:space="preserve"> the natural place to locate the 2</w:t>
      </w:r>
      <w:r w:rsidR="00C75E64" w:rsidRPr="00C75E64">
        <w:rPr>
          <w:vertAlign w:val="superscript"/>
        </w:rPr>
        <w:t>nd</w:t>
      </w:r>
      <w:r w:rsidR="00C75E64">
        <w:t xml:space="preserve"> monitoring occasion is OFDM symbol 7 (assuming indexing starts at zero). This allows the same number of OFDM symbols for PDSCH carrying SIB1 in each half slot.</w:t>
      </w:r>
      <w:r w:rsidR="006A53DD">
        <w:t xml:space="preserve"> </w:t>
      </w:r>
    </w:p>
    <w:p w14:paraId="4B9BB91B" w14:textId="77777777" w:rsidR="006A53DD" w:rsidRDefault="006A53DD" w:rsidP="006A53DD">
      <w:pPr>
        <w:pStyle w:val="BodyText"/>
        <w:keepNext/>
        <w:jc w:val="center"/>
      </w:pPr>
      <w:r w:rsidRPr="006A53DD">
        <w:rPr>
          <w:noProof/>
        </w:rPr>
        <w:drawing>
          <wp:inline distT="0" distB="0" distL="0" distR="0" wp14:anchorId="31C6968C" wp14:editId="1158DD57">
            <wp:extent cx="3597966" cy="1268730"/>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r="41195"/>
                    <a:stretch/>
                  </pic:blipFill>
                  <pic:spPr bwMode="auto">
                    <a:xfrm>
                      <a:off x="0" y="0"/>
                      <a:ext cx="3599330" cy="1269211"/>
                    </a:xfrm>
                    <a:prstGeom prst="rect">
                      <a:avLst/>
                    </a:prstGeom>
                    <a:noFill/>
                    <a:ln>
                      <a:noFill/>
                    </a:ln>
                    <a:extLst>
                      <a:ext uri="{53640926-AAD7-44D8-BBD7-CCE9431645EC}">
                        <a14:shadowObscured xmlns:a14="http://schemas.microsoft.com/office/drawing/2010/main"/>
                      </a:ext>
                    </a:extLst>
                  </pic:spPr>
                </pic:pic>
              </a:graphicData>
            </a:graphic>
          </wp:inline>
        </w:drawing>
      </w:r>
    </w:p>
    <w:p w14:paraId="1BE333FA" w14:textId="25DB1B8E" w:rsidR="006A53DD" w:rsidRDefault="006A53DD" w:rsidP="006A53DD">
      <w:pPr>
        <w:pStyle w:val="Caption"/>
        <w:jc w:val="center"/>
      </w:pPr>
      <w:r>
        <w:t xml:space="preserve">Figure </w:t>
      </w:r>
      <w:r w:rsidR="00642536">
        <w:rPr>
          <w:noProof/>
        </w:rPr>
        <w:fldChar w:fldCharType="begin"/>
      </w:r>
      <w:r w:rsidR="00642536">
        <w:rPr>
          <w:noProof/>
        </w:rPr>
        <w:instrText xml:space="preserve"> SEQ Figure \* ARABIC </w:instrText>
      </w:r>
      <w:r w:rsidR="00642536">
        <w:rPr>
          <w:noProof/>
        </w:rPr>
        <w:fldChar w:fldCharType="separate"/>
      </w:r>
      <w:r w:rsidR="000B4707">
        <w:rPr>
          <w:noProof/>
        </w:rPr>
        <w:t>3</w:t>
      </w:r>
      <w:r w:rsidR="00642536">
        <w:rPr>
          <w:noProof/>
        </w:rPr>
        <w:fldChar w:fldCharType="end"/>
      </w:r>
      <w:r>
        <w:t>: SS/PBCH block time domain patterns supported in NR Rel-15</w:t>
      </w:r>
    </w:p>
    <w:p w14:paraId="6D8BE5F2" w14:textId="55421033" w:rsidR="00603A16" w:rsidRDefault="00817F84" w:rsidP="0070114A">
      <w:pPr>
        <w:pStyle w:val="Proposal"/>
      </w:pPr>
      <w:bookmarkStart w:id="35" w:name="_Ref959335"/>
      <w:bookmarkStart w:id="36" w:name="_Toc1070639"/>
      <w:r>
        <w:t>In a DRS containing</w:t>
      </w:r>
      <w:r w:rsidR="00F17241">
        <w:t xml:space="preserve"> RMSI</w:t>
      </w:r>
      <w:r w:rsidR="00C75E64">
        <w:t xml:space="preserve"> with two SS/PBCH blocks per slot, support two Type0-PDCCH CSS monitoring occasions starting in OFDM symbols 0 and 7 (assuming </w:t>
      </w:r>
      <w:r w:rsidR="00F17241">
        <w:t xml:space="preserve">symbol </w:t>
      </w:r>
      <w:r w:rsidR="00C75E64">
        <w:t xml:space="preserve">indexing starts </w:t>
      </w:r>
      <w:r w:rsidR="00F17241">
        <w:t>at</w:t>
      </w:r>
      <w:r w:rsidR="00C75E64">
        <w:t xml:space="preserve"> zero).</w:t>
      </w:r>
      <w:bookmarkEnd w:id="35"/>
      <w:bookmarkEnd w:id="36"/>
    </w:p>
    <w:p w14:paraId="164E6844" w14:textId="4C151B77" w:rsidR="005B6351" w:rsidRDefault="00817F84" w:rsidP="0070114A">
      <w:pPr>
        <w:pStyle w:val="BodyText"/>
      </w:pPr>
      <w:r>
        <w:t xml:space="preserve">Using </w:t>
      </w:r>
      <w:r>
        <w:fldChar w:fldCharType="begin"/>
      </w:r>
      <w:r>
        <w:instrText xml:space="preserve"> REF _Ref959332 \r \h </w:instrText>
      </w:r>
      <w:r>
        <w:fldChar w:fldCharType="separate"/>
      </w:r>
      <w:r w:rsidR="000B4707">
        <w:t>Proposal 3</w:t>
      </w:r>
      <w:r>
        <w:fldChar w:fldCharType="end"/>
      </w:r>
      <w:r>
        <w:t xml:space="preserve"> and </w:t>
      </w:r>
      <w:r>
        <w:fldChar w:fldCharType="begin"/>
      </w:r>
      <w:r>
        <w:instrText xml:space="preserve"> REF _Ref959335 \r \h </w:instrText>
      </w:r>
      <w:r>
        <w:fldChar w:fldCharType="separate"/>
      </w:r>
      <w:r w:rsidR="000B4707">
        <w:t>Proposal 4</w:t>
      </w:r>
      <w:r>
        <w:fldChar w:fldCharType="end"/>
      </w:r>
      <w:r w:rsidR="00C75E64">
        <w:t xml:space="preserve">, </w:t>
      </w:r>
      <w:r w:rsidR="005B6351">
        <w:t xml:space="preserve">a DRS configuration with two SS/PBCH blocks per slot is shown in </w:t>
      </w:r>
      <w:r>
        <w:fldChar w:fldCharType="begin"/>
      </w:r>
      <w:r>
        <w:instrText xml:space="preserve"> REF _Ref959602 \h </w:instrText>
      </w:r>
      <w:r>
        <w:fldChar w:fldCharType="separate"/>
      </w:r>
      <w:r w:rsidR="000B4707">
        <w:t xml:space="preserve">Figure </w:t>
      </w:r>
      <w:r w:rsidR="000B4707">
        <w:rPr>
          <w:noProof/>
        </w:rPr>
        <w:t>4</w:t>
      </w:r>
      <w:r>
        <w:fldChar w:fldCharType="end"/>
      </w:r>
      <w:r w:rsidR="00826927">
        <w:t xml:space="preserve"> </w:t>
      </w:r>
      <w:r w:rsidR="00C75E64">
        <w:t xml:space="preserve">assuming </w:t>
      </w:r>
      <w:r w:rsidR="00826927">
        <w:t>two</w:t>
      </w:r>
      <w:r w:rsidR="00C75E64">
        <w:t xml:space="preserve"> single</w:t>
      </w:r>
      <w:r w:rsidR="00826927">
        <w:t>-</w:t>
      </w:r>
      <w:r w:rsidR="00C75E64">
        <w:t>symbol Type0-PDCCH common search spaces</w:t>
      </w:r>
      <w:r w:rsidR="005B6351">
        <w:t xml:space="preserve"> starting at OFDM symbol 0 and 7, respectively. </w:t>
      </w:r>
      <w:r w:rsidR="00557070">
        <w:t xml:space="preserve">Assuming a PDSCH contiguous bandwidth of 28 PRBs (CORSET0 BW - SS/PBCH block BW) and accounting for the </w:t>
      </w:r>
      <w:r w:rsidR="005B6351">
        <w:t>one</w:t>
      </w:r>
      <w:r w:rsidR="00557070">
        <w:t xml:space="preserve"> OFDM symbol used for DMRS</w:t>
      </w:r>
      <w:r w:rsidR="005B6351">
        <w:t xml:space="preserve"> in each half slot</w:t>
      </w:r>
      <w:r w:rsidR="00557070">
        <w:t xml:space="preserve">, the number of available REs for PDSCH carrying SIB1 is 1680 for the case of a </w:t>
      </w:r>
      <w:r w:rsidR="005B6351">
        <w:t>one</w:t>
      </w:r>
      <w:r w:rsidR="00557070">
        <w:t>-symbol search space. Assuming the most robust MCS is used for SIB1 transmission</w:t>
      </w:r>
      <w:r w:rsidR="005B6351">
        <w:t xml:space="preserve"> (MCS0)</w:t>
      </w:r>
      <w:r w:rsidR="00557070">
        <w:t>, the SIB1 information bit payload is 394 bits.</w:t>
      </w:r>
      <w:r w:rsidR="005B6351">
        <w:t xml:space="preserve"> It can be further discussed if this is </w:t>
      </w:r>
      <w:proofErr w:type="gramStart"/>
      <w:r w:rsidR="00BD2FFB">
        <w:t>sufficient</w:t>
      </w:r>
      <w:proofErr w:type="gramEnd"/>
      <w:r w:rsidR="005B6351">
        <w:t xml:space="preserve"> for typical deployments.</w:t>
      </w:r>
    </w:p>
    <w:p w14:paraId="649307FC" w14:textId="2C5FB5F6" w:rsidR="001C6278" w:rsidRDefault="005B6351" w:rsidP="0070114A">
      <w:pPr>
        <w:pStyle w:val="BodyText"/>
      </w:pPr>
      <w:r>
        <w:t xml:space="preserve">The time domain SS/PBCH block pattern shown in </w:t>
      </w:r>
      <w:r>
        <w:fldChar w:fldCharType="begin"/>
      </w:r>
      <w:r>
        <w:instrText xml:space="preserve"> REF _Ref959602 \h </w:instrText>
      </w:r>
      <w:r>
        <w:fldChar w:fldCharType="separate"/>
      </w:r>
      <w:r w:rsidR="000B4707">
        <w:t xml:space="preserve">Figure </w:t>
      </w:r>
      <w:r w:rsidR="000B4707">
        <w:rPr>
          <w:noProof/>
        </w:rPr>
        <w:t>4</w:t>
      </w:r>
      <w:r>
        <w:fldChar w:fldCharType="end"/>
      </w:r>
      <w:r>
        <w:t xml:space="preserve"> is the Case C pattern. This allows configuration of only a single-symbol search space in between the two SS/PBCH blocks </w:t>
      </w:r>
      <w:r w:rsidR="00BD2FFB">
        <w:t xml:space="preserve">under the constraint of ensuring an equal number of REs available for </w:t>
      </w:r>
      <w:r>
        <w:t>SIB1 in each half slot. If a two-symbol search space</w:t>
      </w:r>
      <w:r w:rsidR="00BD2FFB">
        <w:t>s</w:t>
      </w:r>
      <w:r>
        <w:t xml:space="preserve"> </w:t>
      </w:r>
      <w:r w:rsidR="00BD2FFB">
        <w:t xml:space="preserve">are </w:t>
      </w:r>
      <w:r>
        <w:t>needed,</w:t>
      </w:r>
      <w:r w:rsidR="00BD2FFB">
        <w:t xml:space="preserve"> then there are two </w:t>
      </w:r>
      <w:r w:rsidR="00F81727">
        <w:t xml:space="preserve">possible configuration </w:t>
      </w:r>
      <w:r w:rsidR="00BD2FFB">
        <w:t>options</w:t>
      </w:r>
      <w:r w:rsidR="00F81727">
        <w:t xml:space="preserve">. Option 1: </w:t>
      </w:r>
      <w:r w:rsidR="00BD2FFB">
        <w:t>Introduce a new time domain pattern for SS/PBCH blocks in which the 2</w:t>
      </w:r>
      <w:r w:rsidR="00BD2FFB" w:rsidRPr="00BD2FFB">
        <w:rPr>
          <w:vertAlign w:val="superscript"/>
        </w:rPr>
        <w:t>nd</w:t>
      </w:r>
      <w:r w:rsidR="00BD2FFB">
        <w:t xml:space="preserve"> block in the slot occupies OFDM symbols 9 -- 12 instead of symbols 8 – 11. This would reduce the number of OFDM symbols available for SIB1 to 4</w:t>
      </w:r>
      <w:r w:rsidR="00F81727">
        <w:t xml:space="preserve"> in each half slot, and hence reduce the SIB1 information bit payload to 315 bits. Option 2: Introduce an additional Type0-PDCCH CSS monitoring occasion starting at OFDM symbol 6. This would even further reduce the number of OFDM symbols available for SIB1 to 3</w:t>
      </w:r>
      <w:r w:rsidR="001C6278">
        <w:t xml:space="preserve"> </w:t>
      </w:r>
      <w:r w:rsidR="00F81727">
        <w:t xml:space="preserve">and </w:t>
      </w:r>
      <w:r w:rsidR="001C6278">
        <w:t xml:space="preserve">reduce </w:t>
      </w:r>
      <w:r w:rsidR="00F81727">
        <w:t>the SIB1 information bit payload to 236 bits</w:t>
      </w:r>
      <w:r w:rsidR="001C6278">
        <w:t xml:space="preserve">. Again, it can be further discussed if this is </w:t>
      </w:r>
      <w:proofErr w:type="gramStart"/>
      <w:r w:rsidR="001C6278">
        <w:t>sufficient</w:t>
      </w:r>
      <w:proofErr w:type="gramEnd"/>
      <w:r w:rsidR="001C6278">
        <w:t xml:space="preserve"> for typical deployments.</w:t>
      </w:r>
    </w:p>
    <w:p w14:paraId="7368C15D" w14:textId="168942BD" w:rsidR="00C75E64" w:rsidRDefault="00F81727" w:rsidP="0070114A">
      <w:pPr>
        <w:pStyle w:val="Observation"/>
      </w:pPr>
      <w:bookmarkStart w:id="37" w:name="_Toc972471"/>
      <w:bookmarkStart w:id="38" w:name="_Toc973388"/>
      <w:bookmarkStart w:id="39" w:name="_Toc973522"/>
      <w:bookmarkStart w:id="40" w:name="_Toc973857"/>
      <w:bookmarkStart w:id="41" w:name="_Toc974198"/>
      <w:bookmarkStart w:id="42" w:name="_Toc976224"/>
      <w:r>
        <w:t>In a DRS containing RMSI with two SS/PBCH blocks per slot</w:t>
      </w:r>
      <w:r w:rsidR="008E40EC">
        <w:t>, configuration of t</w:t>
      </w:r>
      <w:r>
        <w:t>wo 2-symbol Type0-PDCCH CSS monitoring occasions requires introduction of either a new SS/PBCH block time domain pattern (Case C’) or a 2</w:t>
      </w:r>
      <w:r w:rsidRPr="00F81727">
        <w:rPr>
          <w:vertAlign w:val="superscript"/>
        </w:rPr>
        <w:t>nd</w:t>
      </w:r>
      <w:r>
        <w:t xml:space="preserve"> Type0-PDCCH monitoring occasion that crosses </w:t>
      </w:r>
      <w:r w:rsidR="00AD5841">
        <w:t>the half slot boundary</w:t>
      </w:r>
      <w:r>
        <w:t>.</w:t>
      </w:r>
      <w:r w:rsidR="001C6278">
        <w:t xml:space="preserve"> Both options result in a relatively small SIB1 information bit payload</w:t>
      </w:r>
      <w:r w:rsidR="00AD5841">
        <w:t xml:space="preserve">, and it should be further discussed </w:t>
      </w:r>
      <w:proofErr w:type="gramStart"/>
      <w:r w:rsidR="00AD5841">
        <w:t>whether or not</w:t>
      </w:r>
      <w:proofErr w:type="gramEnd"/>
      <w:r w:rsidR="00AD5841">
        <w:t xml:space="preserve"> 2-symbol monitoring occasions are supported.</w:t>
      </w:r>
      <w:bookmarkEnd w:id="37"/>
      <w:bookmarkEnd w:id="38"/>
      <w:bookmarkEnd w:id="39"/>
      <w:bookmarkEnd w:id="40"/>
      <w:bookmarkEnd w:id="41"/>
      <w:bookmarkEnd w:id="42"/>
    </w:p>
    <w:p w14:paraId="43365D6C" w14:textId="77777777" w:rsidR="00817F84" w:rsidRDefault="007D7EFB" w:rsidP="00817F84">
      <w:pPr>
        <w:pStyle w:val="BodyText"/>
        <w:keepNext/>
      </w:pPr>
      <w:r w:rsidRPr="007D7EFB">
        <w:rPr>
          <w:noProof/>
        </w:rPr>
        <w:lastRenderedPageBreak/>
        <w:drawing>
          <wp:inline distT="0" distB="0" distL="0" distR="0" wp14:anchorId="6A09873D" wp14:editId="675DAA18">
            <wp:extent cx="6400800" cy="19933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2490"/>
                    <a:stretch/>
                  </pic:blipFill>
                  <pic:spPr bwMode="auto">
                    <a:xfrm>
                      <a:off x="0" y="0"/>
                      <a:ext cx="6400800" cy="1993392"/>
                    </a:xfrm>
                    <a:prstGeom prst="rect">
                      <a:avLst/>
                    </a:prstGeom>
                    <a:noFill/>
                    <a:ln>
                      <a:noFill/>
                    </a:ln>
                    <a:extLst>
                      <a:ext uri="{53640926-AAD7-44D8-BBD7-CCE9431645EC}">
                        <a14:shadowObscured xmlns:a14="http://schemas.microsoft.com/office/drawing/2010/main"/>
                      </a:ext>
                    </a:extLst>
                  </pic:spPr>
                </pic:pic>
              </a:graphicData>
            </a:graphic>
          </wp:inline>
        </w:drawing>
      </w:r>
    </w:p>
    <w:p w14:paraId="5D563E6A" w14:textId="5074381B" w:rsidR="00826927" w:rsidRDefault="00817F84" w:rsidP="008E40EC">
      <w:pPr>
        <w:pStyle w:val="Caption"/>
        <w:jc w:val="center"/>
      </w:pPr>
      <w:bookmarkStart w:id="43" w:name="_Ref959602"/>
      <w:r>
        <w:t xml:space="preserve">Figure </w:t>
      </w:r>
      <w:r w:rsidR="00703E9D">
        <w:rPr>
          <w:noProof/>
        </w:rPr>
        <w:fldChar w:fldCharType="begin"/>
      </w:r>
      <w:r w:rsidR="00703E9D">
        <w:rPr>
          <w:noProof/>
        </w:rPr>
        <w:instrText xml:space="preserve"> SEQ Figure \* ARABIC </w:instrText>
      </w:r>
      <w:r w:rsidR="00703E9D">
        <w:rPr>
          <w:noProof/>
        </w:rPr>
        <w:fldChar w:fldCharType="separate"/>
      </w:r>
      <w:r w:rsidR="000B4707">
        <w:rPr>
          <w:noProof/>
        </w:rPr>
        <w:t>4</w:t>
      </w:r>
      <w:r w:rsidR="00703E9D">
        <w:rPr>
          <w:noProof/>
        </w:rPr>
        <w:fldChar w:fldCharType="end"/>
      </w:r>
      <w:bookmarkEnd w:id="43"/>
      <w:r>
        <w:t xml:space="preserve">: </w:t>
      </w:r>
      <w:r w:rsidRPr="00BB7FA3">
        <w:t xml:space="preserve">DRS with FDM multiplexing PDSCH carrying SIB1 and </w:t>
      </w:r>
      <w:r>
        <w:t>two</w:t>
      </w:r>
      <w:r w:rsidRPr="00BB7FA3">
        <w:t xml:space="preserve"> SS/PBCH block</w:t>
      </w:r>
      <w:r>
        <w:t>s</w:t>
      </w:r>
      <w:r w:rsidRPr="00BB7FA3">
        <w:t xml:space="preserve"> with 0 RB offset between CORESET0 and the SS/PBCH block</w:t>
      </w:r>
      <w:r>
        <w:t>s</w:t>
      </w:r>
      <w:r w:rsidRPr="00BB7FA3">
        <w:t>.</w:t>
      </w:r>
    </w:p>
    <w:p w14:paraId="48610DAB" w14:textId="7FC99843" w:rsidR="00923913" w:rsidRDefault="008E40EC" w:rsidP="0070114A">
      <w:pPr>
        <w:pStyle w:val="BodyText"/>
      </w:pPr>
      <w:r>
        <w:t xml:space="preserve">One </w:t>
      </w:r>
      <w:r w:rsidR="00923913">
        <w:t>observation</w:t>
      </w:r>
      <w:r>
        <w:t xml:space="preserve"> that is common to all options discussed above is that </w:t>
      </w:r>
      <w:r w:rsidR="00923913">
        <w:t xml:space="preserve">scheduling SIB1 in the first half slot of the DRS is supported already in NR Rel-15 through the PDSCH </w:t>
      </w:r>
      <w:proofErr w:type="spellStart"/>
      <w:r w:rsidR="00923913">
        <w:t>TypeA</w:t>
      </w:r>
      <w:proofErr w:type="spellEnd"/>
      <w:r w:rsidR="00923913">
        <w:t xml:space="preserve"> mappings in either Row Index 13 or 14 in </w:t>
      </w:r>
      <w:r w:rsidR="00923913" w:rsidRPr="0020468D">
        <w:rPr>
          <w:color w:val="000000"/>
        </w:rPr>
        <w:t>Table 5.1.2.1.1-2</w:t>
      </w:r>
      <w:r w:rsidR="00923913">
        <w:rPr>
          <w:color w:val="000000"/>
        </w:rPr>
        <w:t xml:space="preserve"> in </w:t>
      </w:r>
      <w:r w:rsidR="000B4707">
        <w:rPr>
          <w:color w:val="000000"/>
        </w:rPr>
        <w:fldChar w:fldCharType="begin"/>
      </w:r>
      <w:r w:rsidR="000B4707">
        <w:rPr>
          <w:color w:val="000000"/>
        </w:rPr>
        <w:instrText xml:space="preserve"> REF _Ref974170 \r \h </w:instrText>
      </w:r>
      <w:r w:rsidR="000B4707">
        <w:rPr>
          <w:color w:val="000000"/>
        </w:rPr>
      </w:r>
      <w:r w:rsidR="000B4707">
        <w:rPr>
          <w:color w:val="000000"/>
        </w:rPr>
        <w:fldChar w:fldCharType="separate"/>
      </w:r>
      <w:r w:rsidR="000B4707">
        <w:rPr>
          <w:color w:val="000000"/>
        </w:rPr>
        <w:t>[6]</w:t>
      </w:r>
      <w:r w:rsidR="000B4707">
        <w:rPr>
          <w:color w:val="000000"/>
        </w:rPr>
        <w:fldChar w:fldCharType="end"/>
      </w:r>
      <w:r w:rsidR="00923913">
        <w:rPr>
          <w:color w:val="000000"/>
        </w:rPr>
        <w:t xml:space="preserve"> (Default Table A). </w:t>
      </w:r>
      <w:r w:rsidR="00923913">
        <w:t>However, scheduling SIB1 in the 2</w:t>
      </w:r>
      <w:r w:rsidR="00923913" w:rsidRPr="00923913">
        <w:rPr>
          <w:vertAlign w:val="superscript"/>
        </w:rPr>
        <w:t>nd</w:t>
      </w:r>
      <w:r w:rsidR="00923913">
        <w:t xml:space="preserve"> half slot of the DRS requires a new </w:t>
      </w:r>
      <w:proofErr w:type="spellStart"/>
      <w:r w:rsidR="00923913">
        <w:t>TypeB</w:t>
      </w:r>
      <w:proofErr w:type="spellEnd"/>
      <w:r w:rsidR="00923913">
        <w:t xml:space="preserve"> mapping that does not currently exist in Default Table A. There is no </w:t>
      </w:r>
      <w:proofErr w:type="spellStart"/>
      <w:r w:rsidR="00923913">
        <w:t>TypeB</w:t>
      </w:r>
      <w:proofErr w:type="spellEnd"/>
      <w:r w:rsidR="00923913">
        <w:t xml:space="preserve"> mapping of duration 7 OFDM symbols that starts at OFDM symbol 7. For this reason, we propose the following</w:t>
      </w:r>
    </w:p>
    <w:p w14:paraId="01C31CCF" w14:textId="561A25BA" w:rsidR="00923913" w:rsidRPr="00923913" w:rsidRDefault="00923913" w:rsidP="001C6278">
      <w:pPr>
        <w:pStyle w:val="Proposal"/>
        <w:rPr>
          <w:color w:val="000000"/>
        </w:rPr>
      </w:pPr>
      <w:bookmarkStart w:id="44" w:name="_Ref965214"/>
      <w:bookmarkStart w:id="45" w:name="_Toc1070640"/>
      <w:r>
        <w:t xml:space="preserve">In a DRS containing RMSI with two SS/PBCH blocks per slot, support </w:t>
      </w:r>
      <w:r w:rsidR="001C6278">
        <w:t xml:space="preserve">a default PDSCH </w:t>
      </w:r>
      <w:proofErr w:type="spellStart"/>
      <w:r w:rsidR="001C6278">
        <w:t>TypeB</w:t>
      </w:r>
      <w:proofErr w:type="spellEnd"/>
      <w:r w:rsidR="001C6278">
        <w:t xml:space="preserve"> mapping starting in OFDM symbol 7 with a length of 7 OFDM symbols (assuming symbol indexing starts at zero).</w:t>
      </w:r>
      <w:bookmarkEnd w:id="44"/>
      <w:bookmarkEnd w:id="45"/>
    </w:p>
    <w:p w14:paraId="7999D10B" w14:textId="2A21612D" w:rsidR="008E40EC" w:rsidRDefault="00940968" w:rsidP="0070114A">
      <w:pPr>
        <w:pStyle w:val="BodyText"/>
      </w:pPr>
      <w:r>
        <w:t xml:space="preserve">In summary, </w:t>
      </w:r>
      <w:r w:rsidR="00AD5841">
        <w:t xml:space="preserve">to support a DRS design with efficient multiplexing of SS/PBCH block(s) and RMSI PDCCH/PDSCH, the following three changes to </w:t>
      </w:r>
      <w:r>
        <w:t xml:space="preserve">NR Rel-15 specifications </w:t>
      </w:r>
      <w:r w:rsidR="00AD5841">
        <w:t xml:space="preserve">are identified </w:t>
      </w:r>
      <w:proofErr w:type="gramStart"/>
      <w:r>
        <w:t>in order to</w:t>
      </w:r>
      <w:proofErr w:type="gramEnd"/>
      <w:r>
        <w:t xml:space="preserve"> maximize the SIB1 information bit payload:</w:t>
      </w:r>
    </w:p>
    <w:p w14:paraId="3E78E458" w14:textId="6FC4A884" w:rsidR="00940968" w:rsidRDefault="00940968" w:rsidP="00AD5841">
      <w:pPr>
        <w:pStyle w:val="BodyText"/>
        <w:numPr>
          <w:ilvl w:val="0"/>
          <w:numId w:val="21"/>
        </w:numPr>
      </w:pPr>
      <w:r>
        <w:t xml:space="preserve">Introduce 0 RB offset between CORESET0 and SS/PBCH block(s) </w:t>
      </w:r>
      <w:r w:rsidR="00AD5841">
        <w:t>(</w:t>
      </w:r>
      <w:r w:rsidR="00AD5841">
        <w:fldChar w:fldCharType="begin"/>
      </w:r>
      <w:r w:rsidR="00AD5841">
        <w:instrText xml:space="preserve"> REF _Ref959332 \r \h </w:instrText>
      </w:r>
      <w:r w:rsidR="00AD5841">
        <w:fldChar w:fldCharType="separate"/>
      </w:r>
      <w:r w:rsidR="000B4707">
        <w:t>Proposal 3</w:t>
      </w:r>
      <w:r w:rsidR="00AD5841">
        <w:fldChar w:fldCharType="end"/>
      </w:r>
      <w:r w:rsidR="00AD5841">
        <w:t>)</w:t>
      </w:r>
    </w:p>
    <w:p w14:paraId="13DCAFBB" w14:textId="1D605D2D" w:rsidR="00940968" w:rsidRDefault="00940968" w:rsidP="00AD5841">
      <w:pPr>
        <w:pStyle w:val="BodyText"/>
        <w:numPr>
          <w:ilvl w:val="0"/>
          <w:numId w:val="21"/>
        </w:numPr>
      </w:pPr>
      <w:r>
        <w:t>Introduce a new Type0-PDCCH monitoring occasion at OFDM symbol 7</w:t>
      </w:r>
      <w:r w:rsidR="00AD5841">
        <w:t xml:space="preserve"> (</w:t>
      </w:r>
      <w:r w:rsidR="00AD5841">
        <w:fldChar w:fldCharType="begin"/>
      </w:r>
      <w:r w:rsidR="00AD5841">
        <w:instrText xml:space="preserve"> REF _Ref959335 \r \h </w:instrText>
      </w:r>
      <w:r w:rsidR="00AD5841">
        <w:fldChar w:fldCharType="separate"/>
      </w:r>
      <w:r w:rsidR="000B4707">
        <w:t>Proposal 4</w:t>
      </w:r>
      <w:r w:rsidR="00AD5841">
        <w:fldChar w:fldCharType="end"/>
      </w:r>
      <w:r w:rsidR="00AD5841">
        <w:t>)</w:t>
      </w:r>
    </w:p>
    <w:p w14:paraId="4D2538F2" w14:textId="6FBB7B23" w:rsidR="00940968" w:rsidRDefault="00940968" w:rsidP="00AD5841">
      <w:pPr>
        <w:pStyle w:val="BodyText"/>
        <w:numPr>
          <w:ilvl w:val="0"/>
          <w:numId w:val="21"/>
        </w:numPr>
      </w:pPr>
      <w:r>
        <w:t xml:space="preserve">Introduce a new default </w:t>
      </w:r>
      <w:proofErr w:type="spellStart"/>
      <w:r>
        <w:t>TypeB</w:t>
      </w:r>
      <w:proofErr w:type="spellEnd"/>
      <w:r>
        <w:t xml:space="preserve"> PDSCH mapping sta</w:t>
      </w:r>
      <w:r w:rsidR="00302F71">
        <w:t>rting at OFDM symbol 7 with duration of 7 symbols</w:t>
      </w:r>
      <w:r w:rsidR="00AD5841">
        <w:t xml:space="preserve"> (</w:t>
      </w:r>
      <w:r w:rsidR="00AD5841">
        <w:fldChar w:fldCharType="begin"/>
      </w:r>
      <w:r w:rsidR="00AD5841">
        <w:instrText xml:space="preserve"> REF _Ref965214 \r \h </w:instrText>
      </w:r>
      <w:r w:rsidR="00AD5841">
        <w:fldChar w:fldCharType="separate"/>
      </w:r>
      <w:r w:rsidR="000B4707">
        <w:t>Proposal 5</w:t>
      </w:r>
      <w:r w:rsidR="00AD5841">
        <w:fldChar w:fldCharType="end"/>
      </w:r>
      <w:r w:rsidR="00AD5841">
        <w:t>)</w:t>
      </w:r>
    </w:p>
    <w:p w14:paraId="7763D17B" w14:textId="106DFA7A" w:rsidR="00AD5841" w:rsidRDefault="00AD5841" w:rsidP="00AD5841">
      <w:pPr>
        <w:pStyle w:val="BodyText"/>
      </w:pPr>
      <w:r>
        <w:t>For the case of a single SS/PBCH block in a DRS, only #1 is needed. For the case of two SS/PBCH blocks per slot, #1, 2, and 3 are needed.</w:t>
      </w:r>
      <w:r w:rsidR="00BD62F4">
        <w:t xml:space="preserve"> </w:t>
      </w:r>
      <w:r w:rsidR="00093A2C">
        <w:t xml:space="preserve">It should be further discussed </w:t>
      </w:r>
      <w:proofErr w:type="gramStart"/>
      <w:r w:rsidR="00093A2C">
        <w:t>whether or not</w:t>
      </w:r>
      <w:proofErr w:type="gramEnd"/>
      <w:r w:rsidR="00093A2C">
        <w:t xml:space="preserve"> a new SS/PBCH block time domain pattern is needed for 30 kHz SCS, or whether the existing Case C pattern is sufficient.</w:t>
      </w:r>
      <w:r w:rsidR="00BD62F4">
        <w:t xml:space="preserve"> Once this is concluded, </w:t>
      </w:r>
      <w:proofErr w:type="gramStart"/>
      <w:r w:rsidR="00BD62F4">
        <w:t>an</w:t>
      </w:r>
      <w:proofErr w:type="gramEnd"/>
      <w:r w:rsidR="00BD62F4">
        <w:t xml:space="preserve"> LS should be sent to RAN4 with RAN1’s recommendation. The LS should also include the agreement from RAN1 AH 1901 about SCS for SS/PBCH block(s) (shown in Section 2.1 of this paper).</w:t>
      </w:r>
    </w:p>
    <w:p w14:paraId="2DDBCE4C" w14:textId="37CA96CC" w:rsidR="00AB65A8" w:rsidRDefault="00AB65A8" w:rsidP="00AB65A8">
      <w:pPr>
        <w:pStyle w:val="Heading3"/>
      </w:pPr>
      <w:r>
        <w:t>2.1.3</w:t>
      </w:r>
      <w:r>
        <w:tab/>
        <w:t>SS</w:t>
      </w:r>
      <w:r w:rsidR="00137A25">
        <w:t>/PBCH block</w:t>
      </w:r>
      <w:r>
        <w:t xml:space="preserve"> rate matching assumptions</w:t>
      </w:r>
    </w:p>
    <w:p w14:paraId="23F307B1" w14:textId="5224BE27" w:rsidR="00AB65A8" w:rsidRDefault="00AB65A8" w:rsidP="00AD5841">
      <w:pPr>
        <w:pStyle w:val="BodyText"/>
        <w:rPr>
          <w:rFonts w:cs="Arial"/>
          <w:color w:val="212529"/>
          <w:shd w:val="clear" w:color="auto" w:fill="FFFFFF"/>
        </w:rPr>
      </w:pPr>
      <w:r>
        <w:rPr>
          <w:rFonts w:cs="Arial"/>
          <w:color w:val="212529"/>
          <w:shd w:val="clear" w:color="auto" w:fill="FFFFFF"/>
        </w:rPr>
        <w:t>In NR Rel-15, when receiving the PDSCH scheduled with SI-RNTI in PDCCH-Type0 common search space</w:t>
      </w:r>
      <w:r w:rsidR="000B6D21">
        <w:rPr>
          <w:rFonts w:cs="Arial"/>
          <w:color w:val="212529"/>
          <w:shd w:val="clear" w:color="auto" w:fill="FFFFFF"/>
        </w:rPr>
        <w:t xml:space="preserve"> and the system information indicator in DCI is set to 0</w:t>
      </w:r>
      <w:r>
        <w:rPr>
          <w:rFonts w:cs="Arial"/>
          <w:color w:val="212529"/>
          <w:shd w:val="clear" w:color="auto" w:fill="FFFFFF"/>
        </w:rPr>
        <w:t xml:space="preserve">, the UE shall assume that no SS/PBCH block is transmitted in REs used by the UE for a reception of the PDSCH. This assumption restricts the multiplexing possibilities between SS/PBCH blocks and PDSCH carrying RMSI. Specifically, it does not allow the PDSCH to be mapped “around” the SS/PBCH block as shown by the pink shading in </w:t>
      </w:r>
      <w:r>
        <w:rPr>
          <w:rFonts w:cs="Arial"/>
          <w:color w:val="212529"/>
          <w:shd w:val="clear" w:color="auto" w:fill="FFFFFF"/>
        </w:rPr>
        <w:fldChar w:fldCharType="begin"/>
      </w:r>
      <w:r>
        <w:rPr>
          <w:rFonts w:cs="Arial"/>
          <w:color w:val="212529"/>
          <w:shd w:val="clear" w:color="auto" w:fill="FFFFFF"/>
        </w:rPr>
        <w:instrText xml:space="preserve"> REF _Ref534123387 \h </w:instrText>
      </w:r>
      <w:r>
        <w:rPr>
          <w:rFonts w:cs="Arial"/>
          <w:color w:val="212529"/>
          <w:shd w:val="clear" w:color="auto" w:fill="FFFFFF"/>
        </w:rPr>
      </w:r>
      <w:r>
        <w:rPr>
          <w:rFonts w:cs="Arial"/>
          <w:color w:val="212529"/>
          <w:shd w:val="clear" w:color="auto" w:fill="FFFFFF"/>
        </w:rPr>
        <w:fldChar w:fldCharType="separate"/>
      </w:r>
      <w:r w:rsidRPr="0023797C">
        <w:t xml:space="preserve">Figure </w:t>
      </w:r>
      <w:r>
        <w:rPr>
          <w:noProof/>
        </w:rPr>
        <w:t>1</w:t>
      </w:r>
      <w:r>
        <w:rPr>
          <w:rFonts w:cs="Arial"/>
          <w:color w:val="212529"/>
          <w:shd w:val="clear" w:color="auto" w:fill="FFFFFF"/>
        </w:rPr>
        <w:fldChar w:fldCharType="end"/>
      </w:r>
      <w:r>
        <w:rPr>
          <w:rFonts w:cs="Arial"/>
          <w:color w:val="212529"/>
          <w:shd w:val="clear" w:color="auto" w:fill="FFFFFF"/>
        </w:rPr>
        <w:t xml:space="preserve">. </w:t>
      </w:r>
    </w:p>
    <w:p w14:paraId="2321D344" w14:textId="21521D4A" w:rsidR="00137A25" w:rsidRDefault="00AB65A8" w:rsidP="00AD5841">
      <w:pPr>
        <w:pStyle w:val="BodyText"/>
        <w:rPr>
          <w:rFonts w:cs="Arial"/>
          <w:color w:val="212529"/>
          <w:shd w:val="clear" w:color="auto" w:fill="FFFFFF"/>
        </w:rPr>
      </w:pPr>
      <w:r>
        <w:rPr>
          <w:rFonts w:cs="Arial"/>
          <w:color w:val="212529"/>
          <w:shd w:val="clear" w:color="auto" w:fill="FFFFFF"/>
        </w:rPr>
        <w:t>If further optimizations</w:t>
      </w:r>
      <w:r w:rsidR="000128BB">
        <w:rPr>
          <w:rFonts w:cs="Arial"/>
          <w:color w:val="212529"/>
          <w:shd w:val="clear" w:color="auto" w:fill="FFFFFF"/>
        </w:rPr>
        <w:t xml:space="preserve"> of the</w:t>
      </w:r>
      <w:r>
        <w:rPr>
          <w:rFonts w:cs="Arial"/>
          <w:color w:val="212529"/>
          <w:shd w:val="clear" w:color="auto" w:fill="FFFFFF"/>
        </w:rPr>
        <w:t xml:space="preserve"> number of available resources for SIB1</w:t>
      </w:r>
      <w:r w:rsidR="000128BB">
        <w:rPr>
          <w:rFonts w:cs="Arial"/>
          <w:color w:val="212529"/>
          <w:shd w:val="clear" w:color="auto" w:fill="FFFFFF"/>
        </w:rPr>
        <w:t xml:space="preserve"> are needed</w:t>
      </w:r>
      <w:r>
        <w:rPr>
          <w:rFonts w:cs="Arial"/>
          <w:color w:val="212529"/>
          <w:shd w:val="clear" w:color="auto" w:fill="FFFFFF"/>
        </w:rPr>
        <w:t xml:space="preserve"> compared to the designs proposed in Section 2.1.1 and 2.1.2</w:t>
      </w:r>
      <w:r w:rsidR="007F4E07">
        <w:rPr>
          <w:rFonts w:cs="Arial"/>
          <w:color w:val="212529"/>
          <w:shd w:val="clear" w:color="auto" w:fill="FFFFFF"/>
        </w:rPr>
        <w:t>,</w:t>
      </w:r>
      <w:r>
        <w:rPr>
          <w:rFonts w:cs="Arial"/>
          <w:color w:val="212529"/>
          <w:shd w:val="clear" w:color="auto" w:fill="FFFFFF"/>
        </w:rPr>
        <w:t xml:space="preserve"> one would need to revisit </w:t>
      </w:r>
      <w:proofErr w:type="gramStart"/>
      <w:r>
        <w:rPr>
          <w:rFonts w:cs="Arial"/>
          <w:color w:val="212529"/>
          <w:shd w:val="clear" w:color="auto" w:fill="FFFFFF"/>
        </w:rPr>
        <w:t>a number of</w:t>
      </w:r>
      <w:proofErr w:type="gramEnd"/>
      <w:r>
        <w:rPr>
          <w:rFonts w:cs="Arial"/>
          <w:color w:val="212529"/>
          <w:shd w:val="clear" w:color="auto" w:fill="FFFFFF"/>
        </w:rPr>
        <w:t xml:space="preserve"> assumptions </w:t>
      </w:r>
      <w:r w:rsidR="007759B2">
        <w:rPr>
          <w:rFonts w:cs="Arial"/>
          <w:color w:val="212529"/>
          <w:shd w:val="clear" w:color="auto" w:fill="FFFFFF"/>
        </w:rPr>
        <w:t xml:space="preserve">that </w:t>
      </w:r>
      <w:r w:rsidR="00137A25">
        <w:rPr>
          <w:rFonts w:cs="Arial"/>
          <w:color w:val="212529"/>
          <w:shd w:val="clear" w:color="auto" w:fill="FFFFFF"/>
        </w:rPr>
        <w:t xml:space="preserve">a Rel-15 UE is allowed to make. </w:t>
      </w:r>
    </w:p>
    <w:p w14:paraId="662ED630" w14:textId="2D6370DB" w:rsidR="00AB65A8" w:rsidRDefault="0053498A" w:rsidP="00AD5841">
      <w:pPr>
        <w:pStyle w:val="BodyText"/>
        <w:rPr>
          <w:rFonts w:cs="Arial"/>
          <w:color w:val="212529"/>
          <w:shd w:val="clear" w:color="auto" w:fill="FFFFFF"/>
        </w:rPr>
      </w:pPr>
      <w:r>
        <w:rPr>
          <w:rFonts w:cs="Arial"/>
          <w:color w:val="212529"/>
          <w:shd w:val="clear" w:color="auto" w:fill="FFFFFF"/>
        </w:rPr>
        <w:t>In general</w:t>
      </w:r>
      <w:r w:rsidR="00137A25">
        <w:rPr>
          <w:rFonts w:cs="Arial"/>
          <w:color w:val="212529"/>
          <w:shd w:val="clear" w:color="auto" w:fill="FFFFFF"/>
        </w:rPr>
        <w:t xml:space="preserve">, Section 5.1.4 in </w:t>
      </w:r>
      <w:r w:rsidR="00137A25">
        <w:rPr>
          <w:rFonts w:cs="Arial"/>
          <w:color w:val="212529"/>
          <w:shd w:val="clear" w:color="auto" w:fill="FFFFFF"/>
        </w:rPr>
        <w:fldChar w:fldCharType="begin"/>
      </w:r>
      <w:r w:rsidR="00137A25">
        <w:rPr>
          <w:rFonts w:cs="Arial"/>
          <w:color w:val="212529"/>
          <w:shd w:val="clear" w:color="auto" w:fill="FFFFFF"/>
        </w:rPr>
        <w:instrText xml:space="preserve"> REF _Ref974170 \r \h </w:instrText>
      </w:r>
      <w:r w:rsidR="00137A25">
        <w:rPr>
          <w:rFonts w:cs="Arial"/>
          <w:color w:val="212529"/>
          <w:shd w:val="clear" w:color="auto" w:fill="FFFFFF"/>
        </w:rPr>
      </w:r>
      <w:r w:rsidR="00137A25">
        <w:rPr>
          <w:rFonts w:cs="Arial"/>
          <w:color w:val="212529"/>
          <w:shd w:val="clear" w:color="auto" w:fill="FFFFFF"/>
        </w:rPr>
        <w:fldChar w:fldCharType="separate"/>
      </w:r>
      <w:r w:rsidR="00137A25">
        <w:rPr>
          <w:rFonts w:cs="Arial"/>
          <w:color w:val="212529"/>
          <w:shd w:val="clear" w:color="auto" w:fill="FFFFFF"/>
        </w:rPr>
        <w:t>[6]</w:t>
      </w:r>
      <w:r w:rsidR="00137A25">
        <w:rPr>
          <w:rFonts w:cs="Arial"/>
          <w:color w:val="212529"/>
          <w:shd w:val="clear" w:color="auto" w:fill="FFFFFF"/>
        </w:rPr>
        <w:fldChar w:fldCharType="end"/>
      </w:r>
      <w:r w:rsidR="00137A25">
        <w:rPr>
          <w:rFonts w:cs="Arial"/>
          <w:color w:val="212529"/>
          <w:shd w:val="clear" w:color="auto" w:fill="FFFFFF"/>
        </w:rPr>
        <w:t xml:space="preserve"> would need to be modified to allow an SS/PBCH block to be transmitted in REs used by the UE for reception of PDSCH also in the case </w:t>
      </w:r>
      <w:r w:rsidR="000B6D21">
        <w:rPr>
          <w:rFonts w:cs="Arial"/>
          <w:color w:val="212529"/>
          <w:shd w:val="clear" w:color="auto" w:fill="FFFFFF"/>
        </w:rPr>
        <w:t xml:space="preserve">when </w:t>
      </w:r>
      <w:r w:rsidR="00137A25">
        <w:rPr>
          <w:rFonts w:cs="Arial"/>
          <w:color w:val="212529"/>
          <w:shd w:val="clear" w:color="auto" w:fill="FFFFFF"/>
        </w:rPr>
        <w:t xml:space="preserve">the system information indicator in DCI is set to 0. </w:t>
      </w:r>
    </w:p>
    <w:p w14:paraId="4D5C7D18" w14:textId="295EFDA1" w:rsidR="0053498A" w:rsidRDefault="0053498A" w:rsidP="00AD5841">
      <w:pPr>
        <w:pStyle w:val="BodyText"/>
      </w:pPr>
      <w:r>
        <w:t xml:space="preserve">For the case of a single SS/PBCH block in the DRS, the assumption in Section 7.4.1.1.2 in </w:t>
      </w:r>
      <w:r>
        <w:fldChar w:fldCharType="begin"/>
      </w:r>
      <w:r>
        <w:instrText xml:space="preserve"> REF _Ref518639925 \r \h </w:instrText>
      </w:r>
      <w:r>
        <w:fldChar w:fldCharType="separate"/>
      </w:r>
      <w:r>
        <w:t>[3]</w:t>
      </w:r>
      <w:r>
        <w:fldChar w:fldCharType="end"/>
      </w:r>
      <w:r>
        <w:t xml:space="preserve"> that </w:t>
      </w:r>
      <w:r w:rsidR="00E27B40">
        <w:t>“</w:t>
      </w:r>
      <w:r>
        <w:t>t</w:t>
      </w:r>
      <w:r w:rsidRPr="0053498A">
        <w:t>he UE</w:t>
      </w:r>
      <w:r w:rsidR="00E27B40">
        <w:t xml:space="preserve"> </w:t>
      </w:r>
      <w:r w:rsidRPr="0053498A">
        <w:t>may assume that no DM-RS collides with the SS/PBCH block</w:t>
      </w:r>
      <w:r w:rsidR="00E27B40">
        <w:t>”</w:t>
      </w:r>
      <w:r>
        <w:t xml:space="preserve"> would need to be revisited</w:t>
      </w:r>
      <w:r w:rsidR="00E27B40">
        <w:t xml:space="preserve">, because the DMRS in </w:t>
      </w:r>
      <w:r w:rsidR="00BA7BD5">
        <w:t xml:space="preserve">OFDM </w:t>
      </w:r>
      <w:r w:rsidR="00E27B40">
        <w:t>symbol 2 would collide with the first SS/PBCH block if the PDSCH allocation would span all 48 PRBs.</w:t>
      </w:r>
      <w:r w:rsidR="00310B1A">
        <w:t xml:space="preserve"> The same situation would occur in OFDM symbol 11 for the second SS/PBCH block </w:t>
      </w:r>
      <w:r w:rsidR="00BA7BD5">
        <w:t xml:space="preserve">position </w:t>
      </w:r>
      <w:r w:rsidR="00310B1A">
        <w:t>in the slot.</w:t>
      </w:r>
    </w:p>
    <w:p w14:paraId="3C34D7CA" w14:textId="0483253E" w:rsidR="00BA7BD5" w:rsidRDefault="00BA7BD5" w:rsidP="00AD5841">
      <w:pPr>
        <w:pStyle w:val="BodyText"/>
      </w:pPr>
      <w:r>
        <w:lastRenderedPageBreak/>
        <w:t>For the case of multiple SS/PBCH blocks in the DRS a similar situation would occur in OFDM symbol 8. In addition</w:t>
      </w:r>
      <w:r w:rsidR="007035A4">
        <w:t>,</w:t>
      </w:r>
      <w:r>
        <w:t xml:space="preserve"> </w:t>
      </w:r>
      <w:r w:rsidR="007035A4">
        <w:t xml:space="preserve">no DMRS would be available for the PDSCH REs </w:t>
      </w:r>
      <w:r w:rsidR="00E76F96">
        <w:t>after</w:t>
      </w:r>
      <w:r w:rsidR="007035A4">
        <w:t xml:space="preserve"> the SS/PBCH block in OFDM symbol 12 and 13.</w:t>
      </w:r>
      <w:r w:rsidR="00C90154">
        <w:t xml:space="preserve"> </w:t>
      </w:r>
      <w:proofErr w:type="gramStart"/>
      <w:r w:rsidR="00C90154">
        <w:t>In light of</w:t>
      </w:r>
      <w:proofErr w:type="gramEnd"/>
      <w:r w:rsidR="00C90154">
        <w:t xml:space="preserve"> this we make the following proposal:</w:t>
      </w:r>
    </w:p>
    <w:p w14:paraId="6257CBCB" w14:textId="1226EEE0" w:rsidR="00C90154" w:rsidRDefault="00C90154" w:rsidP="00C90154">
      <w:pPr>
        <w:pStyle w:val="Proposal"/>
      </w:pPr>
      <w:bookmarkStart w:id="46" w:name="_Toc1070641"/>
      <w:r>
        <w:t>Discuss the trade</w:t>
      </w:r>
      <w:r w:rsidR="00EE543B">
        <w:t>-</w:t>
      </w:r>
      <w:r>
        <w:t xml:space="preserve">off between required changes needed to Rel-15 specifications to allow PDSCH </w:t>
      </w:r>
      <w:r w:rsidR="00DF67E0">
        <w:t xml:space="preserve">carrying SIB1 </w:t>
      </w:r>
      <w:r>
        <w:t>to be mapped “around” an SS/PBCH block and the need for additional resources for SIB1.</w:t>
      </w:r>
      <w:bookmarkEnd w:id="46"/>
    </w:p>
    <w:p w14:paraId="227F7C0D" w14:textId="26195662" w:rsidR="00543EE3" w:rsidRDefault="00543EE3" w:rsidP="00543EE3">
      <w:pPr>
        <w:pStyle w:val="Heading2"/>
      </w:pPr>
      <w:r>
        <w:t>2.2</w:t>
      </w:r>
      <w:r>
        <w:tab/>
        <w:t>DRS without RMSI</w:t>
      </w:r>
      <w:r w:rsidR="00361438">
        <w:t xml:space="preserve"> (SIB1)</w:t>
      </w:r>
    </w:p>
    <w:p w14:paraId="20D23B66" w14:textId="29C300C9" w:rsidR="00A50815" w:rsidRDefault="00543EE3" w:rsidP="00543EE3">
      <w:pPr>
        <w:pStyle w:val="BodyText"/>
      </w:pPr>
      <w:r w:rsidRPr="00BD62F4">
        <w:t>The previous section focused on</w:t>
      </w:r>
      <w:r w:rsidR="00BE01B1">
        <w:t xml:space="preserve"> design of </w:t>
      </w:r>
      <w:r w:rsidRPr="00BD62F4">
        <w:t>a DRS</w:t>
      </w:r>
      <w:r w:rsidR="00BE01B1">
        <w:t xml:space="preserve"> </w:t>
      </w:r>
      <w:r w:rsidRPr="00BD62F4">
        <w:t xml:space="preserve">with </w:t>
      </w:r>
      <w:r w:rsidR="00BE01B1">
        <w:t>RMSI</w:t>
      </w:r>
      <w:r w:rsidRPr="00BD62F4">
        <w:t>. While this is needed for standalone deployments, it is also needed in some cases for non-standalone (NSA) deployments, e.g., when ANR is used requiring the UE to read the cell global identifier from SIB1. In some other cases, however, the DRS need not always include RMSI.</w:t>
      </w:r>
      <w:r w:rsidR="00BE01B1">
        <w:t xml:space="preserve"> In such cases, the SS/PBCH block time domain pattern</w:t>
      </w:r>
      <w:r w:rsidR="00A50815">
        <w:t>s</w:t>
      </w:r>
      <w:r w:rsidR="00BE01B1">
        <w:t xml:space="preserve"> defined</w:t>
      </w:r>
      <w:r w:rsidR="00A50815">
        <w:t xml:space="preserve"> in NR Rel-15 are </w:t>
      </w:r>
      <w:proofErr w:type="gramStart"/>
      <w:r w:rsidR="00A50815">
        <w:t>sufficient</w:t>
      </w:r>
      <w:proofErr w:type="gramEnd"/>
      <w:r w:rsidR="00A50815">
        <w:t xml:space="preserve">. However, if a new </w:t>
      </w:r>
      <w:r w:rsidR="00BE01B1">
        <w:t xml:space="preserve">time domain pattern (e.g., modification of Case C) is supported for </w:t>
      </w:r>
      <w:r w:rsidR="00A50815">
        <w:t xml:space="preserve">DRS with RMSI, it </w:t>
      </w:r>
      <w:r w:rsidR="00DF7F17">
        <w:t>would be</w:t>
      </w:r>
      <w:r w:rsidR="00A50815">
        <w:t xml:space="preserve"> beneficial from a simplicity standpoint to use the same </w:t>
      </w:r>
      <w:r w:rsidR="00DF7F17">
        <w:t>time domain pattern for DRS without RMSI. Hence we propose the following</w:t>
      </w:r>
    </w:p>
    <w:p w14:paraId="4F30DC0B" w14:textId="77777777" w:rsidR="00DF7F17" w:rsidRPr="00BD62F4" w:rsidRDefault="00DF7F17" w:rsidP="00DF7F17">
      <w:pPr>
        <w:pStyle w:val="Proposal"/>
        <w:tabs>
          <w:tab w:val="clear" w:pos="1304"/>
        </w:tabs>
        <w:overflowPunct/>
        <w:autoSpaceDE/>
        <w:autoSpaceDN/>
        <w:adjustRightInd/>
        <w:spacing w:line="259" w:lineRule="auto"/>
        <w:ind w:left="1701" w:hanging="1701"/>
        <w:textAlignment w:val="auto"/>
      </w:pPr>
      <w:bookmarkStart w:id="47" w:name="_Toc1070642"/>
      <w:r w:rsidRPr="00BD62F4">
        <w:t>If the UE is configured with SCS for SS/PBCH block(s) on an unlicensed serving cell (i.e., for non-standalone operation), the UE may assume the SS/PBCH block(s) are transmitted with the following time domain pattern:</w:t>
      </w:r>
      <w:bookmarkEnd w:id="47"/>
    </w:p>
    <w:p w14:paraId="20766578" w14:textId="77777777" w:rsidR="00DF7F17" w:rsidRPr="00BD62F4" w:rsidRDefault="00DF7F17" w:rsidP="00DF7F17">
      <w:pPr>
        <w:pStyle w:val="Proposal"/>
        <w:numPr>
          <w:ilvl w:val="1"/>
          <w:numId w:val="2"/>
        </w:numPr>
        <w:tabs>
          <w:tab w:val="clear" w:pos="1440"/>
          <w:tab w:val="clear" w:pos="1701"/>
        </w:tabs>
        <w:overflowPunct/>
        <w:autoSpaceDE/>
        <w:autoSpaceDN/>
        <w:adjustRightInd/>
        <w:spacing w:line="259" w:lineRule="auto"/>
        <w:ind w:left="2070"/>
        <w:textAlignment w:val="auto"/>
      </w:pPr>
      <w:bookmarkStart w:id="48" w:name="_Toc1070643"/>
      <w:r w:rsidRPr="00BD62F4">
        <w:t>Case A if 15 kHz SCS configured as in NR Rel-15</w:t>
      </w:r>
      <w:bookmarkEnd w:id="48"/>
    </w:p>
    <w:p w14:paraId="697F6E16" w14:textId="7059C6F9" w:rsidR="00DF7F17" w:rsidRDefault="00DF7F17" w:rsidP="00543EE3">
      <w:pPr>
        <w:pStyle w:val="Proposal"/>
        <w:numPr>
          <w:ilvl w:val="1"/>
          <w:numId w:val="2"/>
        </w:numPr>
        <w:tabs>
          <w:tab w:val="clear" w:pos="1440"/>
          <w:tab w:val="clear" w:pos="1701"/>
        </w:tabs>
        <w:overflowPunct/>
        <w:autoSpaceDE/>
        <w:autoSpaceDN/>
        <w:adjustRightInd/>
        <w:spacing w:line="259" w:lineRule="auto"/>
        <w:ind w:left="2070"/>
        <w:textAlignment w:val="auto"/>
      </w:pPr>
      <w:bookmarkStart w:id="49" w:name="_Toc1070644"/>
      <w:r>
        <w:t>Same pattern as for DRS with RMSI if 30 kHz SCS is configured. FFS: Case C or modified Case C pattern.</w:t>
      </w:r>
      <w:bookmarkEnd w:id="49"/>
    </w:p>
    <w:p w14:paraId="3F33355E" w14:textId="0C06BFC9" w:rsidR="00A87E50" w:rsidRDefault="00A87E50">
      <w:pPr>
        <w:overflowPunct/>
        <w:autoSpaceDE/>
        <w:autoSpaceDN/>
        <w:adjustRightInd/>
        <w:spacing w:after="0"/>
        <w:textAlignment w:val="auto"/>
        <w:rPr>
          <w:rFonts w:ascii="Arial" w:hAnsi="Arial"/>
          <w:lang w:eastAsia="zh-CN"/>
        </w:rPr>
      </w:pPr>
      <w:r>
        <w:br w:type="page"/>
      </w:r>
    </w:p>
    <w:p w14:paraId="2890B30D" w14:textId="77777777" w:rsidR="00543EE3" w:rsidRDefault="00543EE3" w:rsidP="00543EE3">
      <w:pPr>
        <w:pStyle w:val="Heading1"/>
      </w:pPr>
      <w:bookmarkStart w:id="50" w:name="_Toc533002896"/>
      <w:r>
        <w:lastRenderedPageBreak/>
        <w:t>3</w:t>
      </w:r>
      <w:r>
        <w:tab/>
        <w:t>PRACH</w:t>
      </w:r>
      <w:bookmarkEnd w:id="50"/>
    </w:p>
    <w:p w14:paraId="5231D057" w14:textId="77777777" w:rsidR="00543EE3" w:rsidRPr="007D0014" w:rsidRDefault="00543EE3" w:rsidP="00543EE3">
      <w:pPr>
        <w:pStyle w:val="BodyText"/>
      </w:pPr>
      <w:r w:rsidRPr="0023797C">
        <w:t>In this section</w:t>
      </w:r>
      <w:r w:rsidRPr="007D0014">
        <w:t xml:space="preserve">, we discuss PRACH design for NR in unlicensed spectrum. </w:t>
      </w:r>
    </w:p>
    <w:p w14:paraId="5C12728B" w14:textId="77777777" w:rsidR="00543EE3" w:rsidRPr="007D0014" w:rsidRDefault="00543EE3" w:rsidP="00543EE3">
      <w:pPr>
        <w:pStyle w:val="BodyText"/>
      </w:pPr>
      <w:r w:rsidRPr="007D0014">
        <w:t xml:space="preserve">In NR-U, PRACH transmission should be supported for both stand-alone and dual connectivity scenarios (NR-U + LTE and NR-U + NR). In NR, both long (L = 839) and short (L = 139) preamble sequences are supported. The long preambles mainly target large cell deployments. Since NR-U is expected to be deployed in relatively small cells, only short preambles are of interest for NR-U operations. </w:t>
      </w:r>
    </w:p>
    <w:p w14:paraId="4AC12FA3" w14:textId="1989F881" w:rsidR="00543EE3" w:rsidRPr="007D0014" w:rsidRDefault="00670730" w:rsidP="00930500">
      <w:pPr>
        <w:pStyle w:val="Observation"/>
      </w:pPr>
      <w:bookmarkStart w:id="51" w:name="_Toc506553721"/>
      <w:bookmarkStart w:id="52" w:name="_Toc510450967"/>
      <w:bookmarkStart w:id="53" w:name="_Toc510452867"/>
      <w:bookmarkStart w:id="54" w:name="_Toc510731132"/>
      <w:bookmarkStart w:id="55" w:name="_Toc510731379"/>
      <w:bookmarkStart w:id="56" w:name="_Toc510775729"/>
      <w:bookmarkStart w:id="57" w:name="_Toc972472"/>
      <w:bookmarkStart w:id="58" w:name="_Toc973389"/>
      <w:bookmarkStart w:id="59" w:name="_Toc973523"/>
      <w:bookmarkStart w:id="60" w:name="_Toc973858"/>
      <w:bookmarkStart w:id="61" w:name="_Toc974199"/>
      <w:bookmarkStart w:id="62" w:name="_Toc976225"/>
      <w:r>
        <w:t xml:space="preserve">Only the short </w:t>
      </w:r>
      <w:r w:rsidR="00543EE3" w:rsidRPr="007D0014">
        <w:t>PRACH sequence length</w:t>
      </w:r>
      <w:bookmarkEnd w:id="51"/>
      <w:bookmarkEnd w:id="52"/>
      <w:bookmarkEnd w:id="53"/>
      <w:bookmarkEnd w:id="54"/>
      <w:bookmarkEnd w:id="55"/>
      <w:bookmarkEnd w:id="56"/>
      <w:r w:rsidR="00543EE3" w:rsidRPr="007D0014">
        <w:t xml:space="preserve"> (L</w:t>
      </w:r>
      <w:r w:rsidR="00543EE3" w:rsidRPr="007D0014">
        <w:rPr>
          <w:vertAlign w:val="subscript"/>
        </w:rPr>
        <w:t>RA</w:t>
      </w:r>
      <w:r w:rsidR="00543EE3" w:rsidRPr="007D0014">
        <w:t xml:space="preserve"> = </w:t>
      </w:r>
      <w:r>
        <w:t>139</w:t>
      </w:r>
      <w:r w:rsidR="00543EE3" w:rsidRPr="007D0014">
        <w:t>)</w:t>
      </w:r>
      <w:r>
        <w:t xml:space="preserve"> is useful for NR-U.</w:t>
      </w:r>
      <w:bookmarkEnd w:id="57"/>
      <w:bookmarkEnd w:id="58"/>
      <w:bookmarkEnd w:id="59"/>
      <w:bookmarkEnd w:id="60"/>
      <w:bookmarkEnd w:id="61"/>
      <w:bookmarkEnd w:id="62"/>
    </w:p>
    <w:p w14:paraId="704D64B1" w14:textId="086DE89E" w:rsidR="00543EE3" w:rsidRPr="007D0014" w:rsidRDefault="00543EE3" w:rsidP="00543EE3">
      <w:pPr>
        <w:pStyle w:val="BodyText"/>
      </w:pPr>
      <w:r w:rsidRPr="007D0014">
        <w:t xml:space="preserve">In NR, for short (L=139) preamble sequences, </w:t>
      </w:r>
      <w:proofErr w:type="gramStart"/>
      <w:r w:rsidRPr="007D0014">
        <w:t>a number of</w:t>
      </w:r>
      <w:proofErr w:type="gramEnd"/>
      <w:r w:rsidRPr="007D0014">
        <w:t xml:space="preserve"> preamble formats are defined. For each format, the cyclic prefix duration is defined in Table 6.3.3.1-2 in </w:t>
      </w:r>
      <w:r>
        <w:fldChar w:fldCharType="begin"/>
      </w:r>
      <w:r w:rsidRPr="007D0014">
        <w:instrText xml:space="preserve"> REF _Ref518639925 \r \h </w:instrText>
      </w:r>
      <w:r>
        <w:fldChar w:fldCharType="separate"/>
      </w:r>
      <w:r w:rsidR="000B4707">
        <w:t>[3]</w:t>
      </w:r>
      <w:r>
        <w:fldChar w:fldCharType="end"/>
      </w:r>
      <w:r w:rsidRPr="0023797C">
        <w:t xml:space="preserve">, and it is inversely </w:t>
      </w:r>
      <w:r w:rsidRPr="007D0014">
        <w:t xml:space="preserve">proportional to the subcarrier spacing. Based on the cyclic prefix durations, </w:t>
      </w:r>
      <w:r>
        <w:fldChar w:fldCharType="begin"/>
      </w:r>
      <w:r w:rsidRPr="007D0014">
        <w:instrText xml:space="preserve"> REF _Ref518640255 \h </w:instrText>
      </w:r>
      <w:r>
        <w:fldChar w:fldCharType="separate"/>
      </w:r>
      <w:r w:rsidR="000B4707" w:rsidRPr="007D0014">
        <w:t xml:space="preserve">Table </w:t>
      </w:r>
      <w:r w:rsidR="000B4707">
        <w:rPr>
          <w:noProof/>
        </w:rPr>
        <w:t>1</w:t>
      </w:r>
      <w:r>
        <w:fldChar w:fldCharType="end"/>
      </w:r>
      <w:r w:rsidRPr="0023797C">
        <w:t xml:space="preserve"> below lists</w:t>
      </w:r>
      <w:r w:rsidRPr="007D0014">
        <w:t xml:space="preserve"> the maximum cell radius for different formats with different subcarrier spacings. Given that small cells are targeted for NR-U deployment, some formats that are designed for rather large cells can be excluded for NR-U. Observing the maximum cell radius for 30 kHz subcarrier spacing, </w:t>
      </w:r>
      <w:proofErr w:type="gramStart"/>
      <w:r w:rsidRPr="007D0014">
        <w:t>it is clear that formats</w:t>
      </w:r>
      <w:proofErr w:type="gramEnd"/>
      <w:r w:rsidRPr="007D0014">
        <w:t xml:space="preserve"> C0, and C2 target quite large cells.</w:t>
      </w:r>
    </w:p>
    <w:p w14:paraId="641CCA64" w14:textId="63A308C5" w:rsidR="00543EE3" w:rsidRPr="007D0014" w:rsidRDefault="00670730" w:rsidP="00670730">
      <w:pPr>
        <w:pStyle w:val="Observation"/>
      </w:pPr>
      <w:bookmarkStart w:id="63" w:name="_Toc972473"/>
      <w:bookmarkStart w:id="64" w:name="_Toc973390"/>
      <w:bookmarkStart w:id="65" w:name="_Toc973524"/>
      <w:bookmarkStart w:id="66" w:name="_Toc973859"/>
      <w:bookmarkStart w:id="67" w:name="_Toc974200"/>
      <w:bookmarkStart w:id="68" w:name="_Toc976226"/>
      <w:r>
        <w:t xml:space="preserve">Only </w:t>
      </w:r>
      <w:r w:rsidR="003612EE">
        <w:t>a subset of the</w:t>
      </w:r>
      <w:r>
        <w:t xml:space="preserve"> short PRACH preamble formats, A1 – A3 and B1 – B4, are useful f</w:t>
      </w:r>
      <w:r w:rsidR="00543EE3" w:rsidRPr="007D0014">
        <w:t>or NR-U</w:t>
      </w:r>
      <w:r>
        <w:t>.</w:t>
      </w:r>
      <w:bookmarkEnd w:id="63"/>
      <w:bookmarkEnd w:id="64"/>
      <w:bookmarkEnd w:id="65"/>
      <w:bookmarkEnd w:id="66"/>
      <w:bookmarkEnd w:id="67"/>
      <w:bookmarkEnd w:id="68"/>
    </w:p>
    <w:p w14:paraId="3F8D5457" w14:textId="3BCBA949" w:rsidR="00543EE3" w:rsidRPr="0023797C" w:rsidRDefault="00543EE3" w:rsidP="00543EE3">
      <w:pPr>
        <w:pStyle w:val="Caption"/>
        <w:keepNext/>
        <w:jc w:val="center"/>
      </w:pPr>
      <w:bookmarkStart w:id="69" w:name="_Ref518640255"/>
      <w:r w:rsidRPr="007D0014">
        <w:t xml:space="preserve">Table </w:t>
      </w:r>
      <w:r>
        <w:rPr>
          <w:noProof/>
        </w:rPr>
        <w:fldChar w:fldCharType="begin"/>
      </w:r>
      <w:r w:rsidRPr="007D0014">
        <w:rPr>
          <w:noProof/>
        </w:rPr>
        <w:instrText xml:space="preserve"> SEQ Table \* ARABIC </w:instrText>
      </w:r>
      <w:r>
        <w:rPr>
          <w:noProof/>
        </w:rPr>
        <w:fldChar w:fldCharType="separate"/>
      </w:r>
      <w:r w:rsidR="000B4707">
        <w:rPr>
          <w:noProof/>
        </w:rPr>
        <w:t>1</w:t>
      </w:r>
      <w:r>
        <w:rPr>
          <w:noProof/>
        </w:rPr>
        <w:fldChar w:fldCharType="end"/>
      </w:r>
      <w:bookmarkEnd w:id="69"/>
      <w:r w:rsidRPr="0023797C">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543EE3" w:rsidRPr="001B6014" w14:paraId="3354C98C" w14:textId="77777777" w:rsidTr="00D62C6F">
        <w:trPr>
          <w:gridAfter w:val="1"/>
          <w:wAfter w:w="38" w:type="dxa"/>
          <w:jc w:val="center"/>
        </w:trPr>
        <w:tc>
          <w:tcPr>
            <w:tcW w:w="1413" w:type="dxa"/>
            <w:gridSpan w:val="2"/>
            <w:vMerge w:val="restart"/>
          </w:tcPr>
          <w:p w14:paraId="2BE96AAB" w14:textId="77777777" w:rsidR="00543EE3" w:rsidRDefault="00543EE3" w:rsidP="00D62C6F">
            <w:pPr>
              <w:pStyle w:val="BodyText"/>
              <w:jc w:val="center"/>
            </w:pPr>
            <w:r>
              <w:t>Preamble format</w:t>
            </w:r>
          </w:p>
        </w:tc>
        <w:tc>
          <w:tcPr>
            <w:tcW w:w="1701" w:type="dxa"/>
            <w:vMerge w:val="restart"/>
          </w:tcPr>
          <w:p w14:paraId="34ADEC87" w14:textId="77777777" w:rsidR="00543EE3" w:rsidRDefault="00543EE3" w:rsidP="00D62C6F">
            <w:pPr>
              <w:pStyle w:val="BodyText"/>
              <w:jc w:val="center"/>
            </w:pPr>
            <w:r>
              <w:t>Number of OFDM symbols</w:t>
            </w:r>
          </w:p>
        </w:tc>
        <w:tc>
          <w:tcPr>
            <w:tcW w:w="3364" w:type="dxa"/>
            <w:gridSpan w:val="2"/>
          </w:tcPr>
          <w:p w14:paraId="0F57B8AF" w14:textId="77777777" w:rsidR="00543EE3" w:rsidRPr="0023797C" w:rsidRDefault="00543EE3" w:rsidP="00D62C6F">
            <w:pPr>
              <w:pStyle w:val="BodyText"/>
              <w:jc w:val="center"/>
            </w:pPr>
            <w:r w:rsidRPr="0023797C">
              <w:t>Maximum cell radius (in meters)</w:t>
            </w:r>
          </w:p>
        </w:tc>
      </w:tr>
      <w:tr w:rsidR="00543EE3" w14:paraId="57599C6D" w14:textId="77777777" w:rsidTr="00D62C6F">
        <w:trPr>
          <w:jc w:val="center"/>
        </w:trPr>
        <w:tc>
          <w:tcPr>
            <w:tcW w:w="1413" w:type="dxa"/>
            <w:gridSpan w:val="2"/>
            <w:vMerge/>
          </w:tcPr>
          <w:p w14:paraId="56C4CDA2" w14:textId="77777777" w:rsidR="00543EE3" w:rsidRPr="007D0014" w:rsidRDefault="00543EE3" w:rsidP="00D62C6F">
            <w:pPr>
              <w:pStyle w:val="BodyText"/>
              <w:jc w:val="center"/>
            </w:pPr>
          </w:p>
        </w:tc>
        <w:tc>
          <w:tcPr>
            <w:tcW w:w="1701" w:type="dxa"/>
            <w:vMerge/>
          </w:tcPr>
          <w:p w14:paraId="5711AE85" w14:textId="77777777" w:rsidR="00543EE3" w:rsidRPr="007D0014" w:rsidRDefault="00543EE3" w:rsidP="00D62C6F">
            <w:pPr>
              <w:pStyle w:val="BodyText"/>
              <w:jc w:val="center"/>
            </w:pPr>
          </w:p>
        </w:tc>
        <w:tc>
          <w:tcPr>
            <w:tcW w:w="1701" w:type="dxa"/>
          </w:tcPr>
          <w:p w14:paraId="5C610905" w14:textId="77777777" w:rsidR="00543EE3" w:rsidRDefault="00543EE3" w:rsidP="00D62C6F">
            <w:pPr>
              <w:pStyle w:val="BodyText"/>
              <w:jc w:val="center"/>
            </w:pPr>
            <w:r>
              <w:t>SCS 15kHz</w:t>
            </w:r>
          </w:p>
        </w:tc>
        <w:tc>
          <w:tcPr>
            <w:tcW w:w="1701" w:type="dxa"/>
            <w:gridSpan w:val="2"/>
          </w:tcPr>
          <w:p w14:paraId="11A3E374" w14:textId="77777777" w:rsidR="00543EE3" w:rsidRDefault="00543EE3" w:rsidP="00D62C6F">
            <w:pPr>
              <w:pStyle w:val="BodyText"/>
              <w:jc w:val="center"/>
            </w:pPr>
            <w:r>
              <w:t>SCS 30kHz</w:t>
            </w:r>
          </w:p>
        </w:tc>
      </w:tr>
      <w:tr w:rsidR="00543EE3" w14:paraId="4C48EE28" w14:textId="77777777" w:rsidTr="00D62C6F">
        <w:trPr>
          <w:jc w:val="center"/>
        </w:trPr>
        <w:tc>
          <w:tcPr>
            <w:tcW w:w="704" w:type="dxa"/>
            <w:vMerge w:val="restart"/>
          </w:tcPr>
          <w:p w14:paraId="23D2DFC9" w14:textId="77777777" w:rsidR="00543EE3" w:rsidRDefault="00543EE3" w:rsidP="00D62C6F">
            <w:pPr>
              <w:pStyle w:val="BodyText"/>
              <w:spacing w:before="240"/>
              <w:jc w:val="center"/>
            </w:pPr>
            <w:r>
              <w:t>A</w:t>
            </w:r>
          </w:p>
        </w:tc>
        <w:tc>
          <w:tcPr>
            <w:tcW w:w="709" w:type="dxa"/>
          </w:tcPr>
          <w:p w14:paraId="6BDFE1DB" w14:textId="77777777" w:rsidR="00543EE3" w:rsidRDefault="00543EE3" w:rsidP="00D62C6F">
            <w:pPr>
              <w:pStyle w:val="BodyText"/>
              <w:jc w:val="center"/>
            </w:pPr>
            <w:r>
              <w:t>1</w:t>
            </w:r>
          </w:p>
        </w:tc>
        <w:tc>
          <w:tcPr>
            <w:tcW w:w="1701" w:type="dxa"/>
          </w:tcPr>
          <w:p w14:paraId="06E88579" w14:textId="77777777" w:rsidR="00543EE3" w:rsidRDefault="00543EE3" w:rsidP="00D62C6F">
            <w:pPr>
              <w:pStyle w:val="BodyText"/>
              <w:jc w:val="center"/>
            </w:pPr>
            <w:r>
              <w:t>2</w:t>
            </w:r>
          </w:p>
        </w:tc>
        <w:tc>
          <w:tcPr>
            <w:tcW w:w="1701" w:type="dxa"/>
          </w:tcPr>
          <w:p w14:paraId="215530A0" w14:textId="77777777" w:rsidR="00543EE3" w:rsidRDefault="00543EE3" w:rsidP="00D62C6F">
            <w:pPr>
              <w:pStyle w:val="BodyText"/>
              <w:jc w:val="center"/>
            </w:pPr>
            <w:r>
              <w:t>938</w:t>
            </w:r>
          </w:p>
        </w:tc>
        <w:tc>
          <w:tcPr>
            <w:tcW w:w="1701" w:type="dxa"/>
            <w:gridSpan w:val="2"/>
          </w:tcPr>
          <w:p w14:paraId="5C373068" w14:textId="77777777" w:rsidR="00543EE3" w:rsidRDefault="00543EE3" w:rsidP="00D62C6F">
            <w:pPr>
              <w:pStyle w:val="BodyText"/>
              <w:jc w:val="center"/>
            </w:pPr>
            <w:r>
              <w:t>469</w:t>
            </w:r>
          </w:p>
        </w:tc>
      </w:tr>
      <w:tr w:rsidR="00543EE3" w14:paraId="7BF6ACBC" w14:textId="77777777" w:rsidTr="00D62C6F">
        <w:trPr>
          <w:jc w:val="center"/>
        </w:trPr>
        <w:tc>
          <w:tcPr>
            <w:tcW w:w="704" w:type="dxa"/>
            <w:vMerge/>
          </w:tcPr>
          <w:p w14:paraId="24E54F59" w14:textId="77777777" w:rsidR="00543EE3" w:rsidRDefault="00543EE3" w:rsidP="00D62C6F">
            <w:pPr>
              <w:pStyle w:val="BodyText"/>
              <w:jc w:val="center"/>
            </w:pPr>
          </w:p>
        </w:tc>
        <w:tc>
          <w:tcPr>
            <w:tcW w:w="709" w:type="dxa"/>
          </w:tcPr>
          <w:p w14:paraId="0C21C281" w14:textId="77777777" w:rsidR="00543EE3" w:rsidRDefault="00543EE3" w:rsidP="00D62C6F">
            <w:pPr>
              <w:pStyle w:val="BodyText"/>
              <w:jc w:val="center"/>
            </w:pPr>
            <w:r>
              <w:t>2</w:t>
            </w:r>
          </w:p>
        </w:tc>
        <w:tc>
          <w:tcPr>
            <w:tcW w:w="1701" w:type="dxa"/>
          </w:tcPr>
          <w:p w14:paraId="062F990C" w14:textId="77777777" w:rsidR="00543EE3" w:rsidRDefault="00543EE3" w:rsidP="00D62C6F">
            <w:pPr>
              <w:pStyle w:val="BodyText"/>
              <w:jc w:val="center"/>
            </w:pPr>
            <w:r>
              <w:t>4</w:t>
            </w:r>
          </w:p>
        </w:tc>
        <w:tc>
          <w:tcPr>
            <w:tcW w:w="1701" w:type="dxa"/>
          </w:tcPr>
          <w:p w14:paraId="6B0F0E17" w14:textId="77777777" w:rsidR="00543EE3" w:rsidRDefault="00543EE3" w:rsidP="00D62C6F">
            <w:pPr>
              <w:pStyle w:val="BodyText"/>
              <w:jc w:val="center"/>
            </w:pPr>
            <w:r>
              <w:t>2109</w:t>
            </w:r>
          </w:p>
        </w:tc>
        <w:tc>
          <w:tcPr>
            <w:tcW w:w="1701" w:type="dxa"/>
            <w:gridSpan w:val="2"/>
          </w:tcPr>
          <w:p w14:paraId="3B9C730E" w14:textId="77777777" w:rsidR="00543EE3" w:rsidRDefault="00543EE3" w:rsidP="00D62C6F">
            <w:pPr>
              <w:pStyle w:val="BodyText"/>
              <w:jc w:val="center"/>
            </w:pPr>
            <w:r>
              <w:t>1054</w:t>
            </w:r>
          </w:p>
        </w:tc>
      </w:tr>
      <w:tr w:rsidR="00543EE3" w14:paraId="211A53F2" w14:textId="77777777" w:rsidTr="00D62C6F">
        <w:trPr>
          <w:jc w:val="center"/>
        </w:trPr>
        <w:tc>
          <w:tcPr>
            <w:tcW w:w="704" w:type="dxa"/>
            <w:vMerge/>
          </w:tcPr>
          <w:p w14:paraId="414DA188" w14:textId="77777777" w:rsidR="00543EE3" w:rsidRDefault="00543EE3" w:rsidP="00D62C6F">
            <w:pPr>
              <w:pStyle w:val="BodyText"/>
              <w:jc w:val="center"/>
            </w:pPr>
          </w:p>
        </w:tc>
        <w:tc>
          <w:tcPr>
            <w:tcW w:w="709" w:type="dxa"/>
          </w:tcPr>
          <w:p w14:paraId="5A3AB459" w14:textId="77777777" w:rsidR="00543EE3" w:rsidRDefault="00543EE3" w:rsidP="00D62C6F">
            <w:pPr>
              <w:pStyle w:val="BodyText"/>
              <w:jc w:val="center"/>
            </w:pPr>
            <w:r>
              <w:t>3</w:t>
            </w:r>
          </w:p>
        </w:tc>
        <w:tc>
          <w:tcPr>
            <w:tcW w:w="1701" w:type="dxa"/>
          </w:tcPr>
          <w:p w14:paraId="1925A149" w14:textId="77777777" w:rsidR="00543EE3" w:rsidRDefault="00543EE3" w:rsidP="00D62C6F">
            <w:pPr>
              <w:pStyle w:val="BodyText"/>
              <w:jc w:val="center"/>
            </w:pPr>
            <w:r>
              <w:t>6</w:t>
            </w:r>
          </w:p>
        </w:tc>
        <w:tc>
          <w:tcPr>
            <w:tcW w:w="1701" w:type="dxa"/>
          </w:tcPr>
          <w:p w14:paraId="53A93706" w14:textId="77777777" w:rsidR="00543EE3" w:rsidRDefault="00543EE3" w:rsidP="00D62C6F">
            <w:pPr>
              <w:pStyle w:val="BodyText"/>
              <w:jc w:val="center"/>
            </w:pPr>
            <w:r>
              <w:t>3516</w:t>
            </w:r>
          </w:p>
        </w:tc>
        <w:tc>
          <w:tcPr>
            <w:tcW w:w="1701" w:type="dxa"/>
            <w:gridSpan w:val="2"/>
          </w:tcPr>
          <w:p w14:paraId="1DB0C24A" w14:textId="77777777" w:rsidR="00543EE3" w:rsidRDefault="00543EE3" w:rsidP="00D62C6F">
            <w:pPr>
              <w:pStyle w:val="BodyText"/>
              <w:jc w:val="center"/>
            </w:pPr>
            <w:r>
              <w:t>1758</w:t>
            </w:r>
          </w:p>
        </w:tc>
      </w:tr>
      <w:tr w:rsidR="00543EE3" w14:paraId="13969583" w14:textId="77777777" w:rsidTr="00D62C6F">
        <w:trPr>
          <w:jc w:val="center"/>
        </w:trPr>
        <w:tc>
          <w:tcPr>
            <w:tcW w:w="704" w:type="dxa"/>
            <w:vMerge w:val="restart"/>
          </w:tcPr>
          <w:p w14:paraId="0A133433" w14:textId="77777777" w:rsidR="00543EE3" w:rsidRDefault="00543EE3" w:rsidP="00D62C6F">
            <w:pPr>
              <w:pStyle w:val="BodyText"/>
              <w:jc w:val="center"/>
            </w:pPr>
            <w:r>
              <w:br/>
              <w:t>B</w:t>
            </w:r>
          </w:p>
        </w:tc>
        <w:tc>
          <w:tcPr>
            <w:tcW w:w="709" w:type="dxa"/>
          </w:tcPr>
          <w:p w14:paraId="1DC62E5E" w14:textId="77777777" w:rsidR="00543EE3" w:rsidRDefault="00543EE3" w:rsidP="00D62C6F">
            <w:pPr>
              <w:pStyle w:val="BodyText"/>
              <w:jc w:val="center"/>
            </w:pPr>
            <w:r>
              <w:t>1</w:t>
            </w:r>
          </w:p>
        </w:tc>
        <w:tc>
          <w:tcPr>
            <w:tcW w:w="1701" w:type="dxa"/>
          </w:tcPr>
          <w:p w14:paraId="56ED9B92" w14:textId="77777777" w:rsidR="00543EE3" w:rsidRDefault="00543EE3" w:rsidP="00D62C6F">
            <w:pPr>
              <w:pStyle w:val="BodyText"/>
              <w:jc w:val="center"/>
            </w:pPr>
            <w:r>
              <w:t>2</w:t>
            </w:r>
          </w:p>
        </w:tc>
        <w:tc>
          <w:tcPr>
            <w:tcW w:w="1701" w:type="dxa"/>
          </w:tcPr>
          <w:p w14:paraId="74761E8E" w14:textId="77777777" w:rsidR="00543EE3" w:rsidRDefault="00543EE3" w:rsidP="00D62C6F">
            <w:pPr>
              <w:pStyle w:val="BodyText"/>
              <w:jc w:val="center"/>
            </w:pPr>
            <w:r>
              <w:t>586</w:t>
            </w:r>
          </w:p>
        </w:tc>
        <w:tc>
          <w:tcPr>
            <w:tcW w:w="1701" w:type="dxa"/>
            <w:gridSpan w:val="2"/>
          </w:tcPr>
          <w:p w14:paraId="727F2AB7" w14:textId="77777777" w:rsidR="00543EE3" w:rsidRDefault="00543EE3" w:rsidP="00D62C6F">
            <w:pPr>
              <w:pStyle w:val="BodyText"/>
              <w:jc w:val="center"/>
            </w:pPr>
            <w:r>
              <w:t>293</w:t>
            </w:r>
          </w:p>
        </w:tc>
      </w:tr>
      <w:tr w:rsidR="00543EE3" w14:paraId="63D3C03C" w14:textId="77777777" w:rsidTr="00D62C6F">
        <w:trPr>
          <w:jc w:val="center"/>
        </w:trPr>
        <w:tc>
          <w:tcPr>
            <w:tcW w:w="704" w:type="dxa"/>
            <w:vMerge/>
          </w:tcPr>
          <w:p w14:paraId="12F26CC7" w14:textId="77777777" w:rsidR="00543EE3" w:rsidRDefault="00543EE3" w:rsidP="00D62C6F">
            <w:pPr>
              <w:pStyle w:val="BodyText"/>
              <w:jc w:val="center"/>
            </w:pPr>
          </w:p>
        </w:tc>
        <w:tc>
          <w:tcPr>
            <w:tcW w:w="709" w:type="dxa"/>
          </w:tcPr>
          <w:p w14:paraId="7943CBE1" w14:textId="77777777" w:rsidR="00543EE3" w:rsidRDefault="00543EE3" w:rsidP="00D62C6F">
            <w:pPr>
              <w:pStyle w:val="BodyText"/>
              <w:jc w:val="center"/>
            </w:pPr>
            <w:r>
              <w:t>2</w:t>
            </w:r>
          </w:p>
        </w:tc>
        <w:tc>
          <w:tcPr>
            <w:tcW w:w="1701" w:type="dxa"/>
          </w:tcPr>
          <w:p w14:paraId="38F182C8" w14:textId="77777777" w:rsidR="00543EE3" w:rsidRDefault="00543EE3" w:rsidP="00D62C6F">
            <w:pPr>
              <w:pStyle w:val="BodyText"/>
              <w:jc w:val="center"/>
            </w:pPr>
            <w:r>
              <w:t>4</w:t>
            </w:r>
          </w:p>
        </w:tc>
        <w:tc>
          <w:tcPr>
            <w:tcW w:w="1701" w:type="dxa"/>
          </w:tcPr>
          <w:p w14:paraId="2432F8DE" w14:textId="77777777" w:rsidR="00543EE3" w:rsidRDefault="00543EE3" w:rsidP="00D62C6F">
            <w:pPr>
              <w:pStyle w:val="BodyText"/>
              <w:jc w:val="center"/>
            </w:pPr>
            <w:r>
              <w:t>1055</w:t>
            </w:r>
          </w:p>
        </w:tc>
        <w:tc>
          <w:tcPr>
            <w:tcW w:w="1701" w:type="dxa"/>
            <w:gridSpan w:val="2"/>
          </w:tcPr>
          <w:p w14:paraId="528217B1" w14:textId="77777777" w:rsidR="00543EE3" w:rsidRDefault="00543EE3" w:rsidP="00D62C6F">
            <w:pPr>
              <w:pStyle w:val="BodyText"/>
              <w:jc w:val="center"/>
            </w:pPr>
            <w:r>
              <w:t>527</w:t>
            </w:r>
          </w:p>
        </w:tc>
      </w:tr>
      <w:tr w:rsidR="00543EE3" w14:paraId="0EC4B045" w14:textId="77777777" w:rsidTr="00D62C6F">
        <w:trPr>
          <w:jc w:val="center"/>
        </w:trPr>
        <w:tc>
          <w:tcPr>
            <w:tcW w:w="704" w:type="dxa"/>
            <w:vMerge/>
          </w:tcPr>
          <w:p w14:paraId="4D829CF5" w14:textId="77777777" w:rsidR="00543EE3" w:rsidRDefault="00543EE3" w:rsidP="00D62C6F">
            <w:pPr>
              <w:pStyle w:val="BodyText"/>
              <w:jc w:val="center"/>
            </w:pPr>
          </w:p>
        </w:tc>
        <w:tc>
          <w:tcPr>
            <w:tcW w:w="709" w:type="dxa"/>
          </w:tcPr>
          <w:p w14:paraId="26CC30B5" w14:textId="77777777" w:rsidR="00543EE3" w:rsidRDefault="00543EE3" w:rsidP="00D62C6F">
            <w:pPr>
              <w:pStyle w:val="BodyText"/>
              <w:jc w:val="center"/>
            </w:pPr>
            <w:r>
              <w:t>3</w:t>
            </w:r>
          </w:p>
        </w:tc>
        <w:tc>
          <w:tcPr>
            <w:tcW w:w="1701" w:type="dxa"/>
          </w:tcPr>
          <w:p w14:paraId="02755118" w14:textId="77777777" w:rsidR="00543EE3" w:rsidRDefault="00543EE3" w:rsidP="00D62C6F">
            <w:pPr>
              <w:pStyle w:val="BodyText"/>
              <w:jc w:val="center"/>
            </w:pPr>
            <w:r>
              <w:t>6</w:t>
            </w:r>
          </w:p>
        </w:tc>
        <w:tc>
          <w:tcPr>
            <w:tcW w:w="1701" w:type="dxa"/>
          </w:tcPr>
          <w:p w14:paraId="69B4C82E" w14:textId="77777777" w:rsidR="00543EE3" w:rsidRDefault="00543EE3" w:rsidP="00D62C6F">
            <w:pPr>
              <w:pStyle w:val="BodyText"/>
              <w:jc w:val="center"/>
            </w:pPr>
            <w:r>
              <w:t>1758</w:t>
            </w:r>
          </w:p>
        </w:tc>
        <w:tc>
          <w:tcPr>
            <w:tcW w:w="1701" w:type="dxa"/>
            <w:gridSpan w:val="2"/>
          </w:tcPr>
          <w:p w14:paraId="57706AF9" w14:textId="77777777" w:rsidR="00543EE3" w:rsidRDefault="00543EE3" w:rsidP="00D62C6F">
            <w:pPr>
              <w:pStyle w:val="BodyText"/>
              <w:jc w:val="center"/>
            </w:pPr>
            <w:r>
              <w:t>879</w:t>
            </w:r>
          </w:p>
        </w:tc>
      </w:tr>
      <w:tr w:rsidR="00543EE3" w14:paraId="6613CDBE" w14:textId="77777777" w:rsidTr="00D62C6F">
        <w:trPr>
          <w:jc w:val="center"/>
        </w:trPr>
        <w:tc>
          <w:tcPr>
            <w:tcW w:w="704" w:type="dxa"/>
            <w:vMerge/>
          </w:tcPr>
          <w:p w14:paraId="2AAB0A6E" w14:textId="77777777" w:rsidR="00543EE3" w:rsidRDefault="00543EE3" w:rsidP="00D62C6F">
            <w:pPr>
              <w:pStyle w:val="BodyText"/>
              <w:jc w:val="center"/>
            </w:pPr>
          </w:p>
        </w:tc>
        <w:tc>
          <w:tcPr>
            <w:tcW w:w="709" w:type="dxa"/>
          </w:tcPr>
          <w:p w14:paraId="7EBBDCBF" w14:textId="77777777" w:rsidR="00543EE3" w:rsidRDefault="00543EE3" w:rsidP="00D62C6F">
            <w:pPr>
              <w:pStyle w:val="BodyText"/>
              <w:jc w:val="center"/>
            </w:pPr>
            <w:r>
              <w:t>4</w:t>
            </w:r>
          </w:p>
        </w:tc>
        <w:tc>
          <w:tcPr>
            <w:tcW w:w="1701" w:type="dxa"/>
          </w:tcPr>
          <w:p w14:paraId="081093D6" w14:textId="77777777" w:rsidR="00543EE3" w:rsidRDefault="00543EE3" w:rsidP="00D62C6F">
            <w:pPr>
              <w:pStyle w:val="BodyText"/>
              <w:jc w:val="center"/>
            </w:pPr>
            <w:r>
              <w:t>12</w:t>
            </w:r>
          </w:p>
        </w:tc>
        <w:tc>
          <w:tcPr>
            <w:tcW w:w="1701" w:type="dxa"/>
          </w:tcPr>
          <w:p w14:paraId="7F04235F" w14:textId="77777777" w:rsidR="00543EE3" w:rsidRDefault="00543EE3" w:rsidP="00D62C6F">
            <w:pPr>
              <w:pStyle w:val="BodyText"/>
              <w:jc w:val="center"/>
            </w:pPr>
            <w:r>
              <w:t>3867</w:t>
            </w:r>
          </w:p>
        </w:tc>
        <w:tc>
          <w:tcPr>
            <w:tcW w:w="1701" w:type="dxa"/>
            <w:gridSpan w:val="2"/>
          </w:tcPr>
          <w:p w14:paraId="5CCE0146" w14:textId="77777777" w:rsidR="00543EE3" w:rsidRDefault="00543EE3" w:rsidP="00D62C6F">
            <w:pPr>
              <w:pStyle w:val="BodyText"/>
              <w:jc w:val="center"/>
            </w:pPr>
            <w:r>
              <w:t>1933</w:t>
            </w:r>
          </w:p>
        </w:tc>
      </w:tr>
      <w:tr w:rsidR="00543EE3" w14:paraId="41A2C75F" w14:textId="77777777" w:rsidTr="00D62C6F">
        <w:trPr>
          <w:jc w:val="center"/>
        </w:trPr>
        <w:tc>
          <w:tcPr>
            <w:tcW w:w="704" w:type="dxa"/>
            <w:vMerge w:val="restart"/>
          </w:tcPr>
          <w:p w14:paraId="20C8E0C5" w14:textId="77777777" w:rsidR="00543EE3" w:rsidRDefault="00543EE3" w:rsidP="00D62C6F">
            <w:pPr>
              <w:pStyle w:val="BodyText"/>
              <w:jc w:val="center"/>
            </w:pPr>
            <w:r>
              <w:t>C</w:t>
            </w:r>
          </w:p>
        </w:tc>
        <w:tc>
          <w:tcPr>
            <w:tcW w:w="709" w:type="dxa"/>
          </w:tcPr>
          <w:p w14:paraId="5563AAE0" w14:textId="77777777" w:rsidR="00543EE3" w:rsidRDefault="00543EE3" w:rsidP="00D62C6F">
            <w:pPr>
              <w:pStyle w:val="BodyText"/>
              <w:jc w:val="center"/>
            </w:pPr>
            <w:r>
              <w:t>0</w:t>
            </w:r>
          </w:p>
        </w:tc>
        <w:tc>
          <w:tcPr>
            <w:tcW w:w="1701" w:type="dxa"/>
          </w:tcPr>
          <w:p w14:paraId="6B9F2DE3" w14:textId="77777777" w:rsidR="00543EE3" w:rsidRDefault="00543EE3" w:rsidP="00D62C6F">
            <w:pPr>
              <w:pStyle w:val="BodyText"/>
              <w:jc w:val="center"/>
            </w:pPr>
            <w:r>
              <w:t>1</w:t>
            </w:r>
          </w:p>
        </w:tc>
        <w:tc>
          <w:tcPr>
            <w:tcW w:w="1701" w:type="dxa"/>
          </w:tcPr>
          <w:p w14:paraId="54B0477D" w14:textId="77777777" w:rsidR="00543EE3" w:rsidRDefault="00543EE3" w:rsidP="00D62C6F">
            <w:pPr>
              <w:pStyle w:val="BodyText"/>
              <w:jc w:val="center"/>
            </w:pPr>
            <w:r>
              <w:t>5300</w:t>
            </w:r>
          </w:p>
        </w:tc>
        <w:tc>
          <w:tcPr>
            <w:tcW w:w="1701" w:type="dxa"/>
            <w:gridSpan w:val="2"/>
          </w:tcPr>
          <w:p w14:paraId="09B36127" w14:textId="77777777" w:rsidR="00543EE3" w:rsidRDefault="00543EE3" w:rsidP="00D62C6F">
            <w:pPr>
              <w:pStyle w:val="BodyText"/>
              <w:jc w:val="center"/>
            </w:pPr>
            <w:r>
              <w:t>2650</w:t>
            </w:r>
          </w:p>
        </w:tc>
      </w:tr>
      <w:tr w:rsidR="00543EE3" w14:paraId="6516EDBB" w14:textId="77777777" w:rsidTr="00D62C6F">
        <w:trPr>
          <w:jc w:val="center"/>
        </w:trPr>
        <w:tc>
          <w:tcPr>
            <w:tcW w:w="704" w:type="dxa"/>
            <w:vMerge/>
          </w:tcPr>
          <w:p w14:paraId="1CC755D0" w14:textId="77777777" w:rsidR="00543EE3" w:rsidRDefault="00543EE3" w:rsidP="00D62C6F">
            <w:pPr>
              <w:pStyle w:val="BodyText"/>
              <w:jc w:val="center"/>
            </w:pPr>
          </w:p>
        </w:tc>
        <w:tc>
          <w:tcPr>
            <w:tcW w:w="709" w:type="dxa"/>
          </w:tcPr>
          <w:p w14:paraId="2633DF49" w14:textId="77777777" w:rsidR="00543EE3" w:rsidRDefault="00543EE3" w:rsidP="00D62C6F">
            <w:pPr>
              <w:pStyle w:val="BodyText"/>
              <w:jc w:val="center"/>
            </w:pPr>
            <w:r>
              <w:t>2</w:t>
            </w:r>
          </w:p>
        </w:tc>
        <w:tc>
          <w:tcPr>
            <w:tcW w:w="1701" w:type="dxa"/>
          </w:tcPr>
          <w:p w14:paraId="2F09BB61" w14:textId="77777777" w:rsidR="00543EE3" w:rsidRDefault="00543EE3" w:rsidP="00D62C6F">
            <w:pPr>
              <w:pStyle w:val="BodyText"/>
              <w:jc w:val="center"/>
            </w:pPr>
            <w:r>
              <w:t>4</w:t>
            </w:r>
          </w:p>
        </w:tc>
        <w:tc>
          <w:tcPr>
            <w:tcW w:w="1701" w:type="dxa"/>
          </w:tcPr>
          <w:p w14:paraId="23663322" w14:textId="77777777" w:rsidR="00543EE3" w:rsidRDefault="00543EE3" w:rsidP="00D62C6F">
            <w:pPr>
              <w:pStyle w:val="BodyText"/>
              <w:jc w:val="center"/>
            </w:pPr>
            <w:r>
              <w:t>9200</w:t>
            </w:r>
          </w:p>
        </w:tc>
        <w:tc>
          <w:tcPr>
            <w:tcW w:w="1701" w:type="dxa"/>
            <w:gridSpan w:val="2"/>
          </w:tcPr>
          <w:p w14:paraId="22C4705A" w14:textId="77777777" w:rsidR="00543EE3" w:rsidRDefault="00543EE3" w:rsidP="00D62C6F">
            <w:pPr>
              <w:pStyle w:val="BodyText"/>
              <w:jc w:val="center"/>
            </w:pPr>
            <w:r>
              <w:t>4600</w:t>
            </w:r>
          </w:p>
        </w:tc>
      </w:tr>
    </w:tbl>
    <w:p w14:paraId="3BAB1240" w14:textId="77777777" w:rsidR="00543EE3" w:rsidRDefault="00543EE3" w:rsidP="00543EE3">
      <w:pPr>
        <w:pStyle w:val="BodyText"/>
        <w:jc w:val="center"/>
      </w:pPr>
    </w:p>
    <w:p w14:paraId="7CEB2ADF" w14:textId="0DF4E461" w:rsidR="00543EE3" w:rsidRPr="0023797C" w:rsidRDefault="00543EE3" w:rsidP="00543EE3">
      <w:pPr>
        <w:pStyle w:val="BodyText"/>
        <w:rPr>
          <w:rFonts w:cs="Arial"/>
        </w:rPr>
      </w:pPr>
      <w:bookmarkStart w:id="70" w:name="_Toc506553723"/>
      <w:bookmarkStart w:id="71" w:name="_Toc510450969"/>
      <w:bookmarkStart w:id="72" w:name="_Toc510452869"/>
      <w:bookmarkStart w:id="73" w:name="_Toc510731134"/>
      <w:bookmarkStart w:id="74" w:name="_Toc510731381"/>
      <w:bookmarkStart w:id="75" w:name="_Toc510775731"/>
      <w:r w:rsidRPr="007D0014">
        <w:rPr>
          <w:rFonts w:cs="Arial"/>
        </w:rPr>
        <w:t xml:space="preserve">In NR Rel-15, RMSI (SIB1) contains the IE </w:t>
      </w:r>
      <w:r w:rsidRPr="007D0014">
        <w:rPr>
          <w:rFonts w:cs="Arial"/>
          <w:i/>
        </w:rPr>
        <w:t>RACH-</w:t>
      </w:r>
      <w:proofErr w:type="spellStart"/>
      <w:r w:rsidRPr="007D0014">
        <w:rPr>
          <w:rFonts w:cs="Arial"/>
          <w:i/>
        </w:rPr>
        <w:t>ConfigCommon</w:t>
      </w:r>
      <w:proofErr w:type="spellEnd"/>
      <w:r w:rsidRPr="007D0014">
        <w:rPr>
          <w:rFonts w:cs="Arial"/>
        </w:rPr>
        <w:t xml:space="preserve"> which contains the field </w:t>
      </w:r>
      <w:r w:rsidRPr="007D0014">
        <w:rPr>
          <w:rFonts w:cs="Arial"/>
          <w:i/>
        </w:rPr>
        <w:t>msg1-SubcarrierSpacing</w:t>
      </w:r>
      <w:r w:rsidRPr="007D0014">
        <w:rPr>
          <w:rFonts w:cs="Arial"/>
        </w:rPr>
        <w:t xml:space="preserve"> which has the following description </w:t>
      </w:r>
      <w:r>
        <w:rPr>
          <w:rFonts w:cs="Arial"/>
        </w:rPr>
        <w:fldChar w:fldCharType="begin"/>
      </w:r>
      <w:r w:rsidRPr="007D0014">
        <w:rPr>
          <w:rFonts w:cs="Arial"/>
        </w:rPr>
        <w:instrText xml:space="preserve"> REF _Ref519848688 \r \h </w:instrText>
      </w:r>
      <w:r>
        <w:rPr>
          <w:rFonts w:cs="Arial"/>
        </w:rPr>
      </w:r>
      <w:r>
        <w:rPr>
          <w:rFonts w:cs="Arial"/>
        </w:rPr>
        <w:fldChar w:fldCharType="separate"/>
      </w:r>
      <w:r w:rsidR="000B4707">
        <w:rPr>
          <w:rFonts w:cs="Arial"/>
        </w:rPr>
        <w:t>[4]</w:t>
      </w:r>
      <w:r>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43EE3" w:rsidRPr="001B6014" w14:paraId="531C0997" w14:textId="77777777" w:rsidTr="00D62C6F">
        <w:tc>
          <w:tcPr>
            <w:tcW w:w="14173" w:type="dxa"/>
            <w:shd w:val="clear" w:color="auto" w:fill="auto"/>
          </w:tcPr>
          <w:p w14:paraId="64D89FA6" w14:textId="77777777" w:rsidR="00543EE3" w:rsidRPr="000F464D" w:rsidRDefault="00543EE3" w:rsidP="00D62C6F">
            <w:pPr>
              <w:pStyle w:val="TAL"/>
              <w:rPr>
                <w:lang w:val="en-GB" w:eastAsia="ja-JP"/>
              </w:rPr>
            </w:pPr>
            <w:r w:rsidRPr="000F464D">
              <w:rPr>
                <w:b/>
                <w:i/>
                <w:lang w:val="en-GB" w:eastAsia="ja-JP"/>
              </w:rPr>
              <w:t>msg1-SubcarrierSpacing</w:t>
            </w:r>
          </w:p>
          <w:p w14:paraId="6571A035" w14:textId="77777777" w:rsidR="00543EE3" w:rsidRPr="000F464D" w:rsidRDefault="00543EE3" w:rsidP="00D62C6F">
            <w:pPr>
              <w:pStyle w:val="TAL"/>
              <w:rPr>
                <w:lang w:val="en-GB" w:eastAsia="ja-JP"/>
              </w:rPr>
            </w:pPr>
            <w:r w:rsidRPr="000F464D">
              <w:rPr>
                <w:lang w:val="en-GB" w:eastAsia="ja-JP"/>
              </w:rPr>
              <w:t xml:space="preserve">Subcarrier spacing of PRACH. Only the values 15 or 30 </w:t>
            </w:r>
            <w:proofErr w:type="gramStart"/>
            <w:r w:rsidRPr="000F464D">
              <w:rPr>
                <w:lang w:val="en-GB" w:eastAsia="ja-JP"/>
              </w:rPr>
              <w:t>kHz  (</w:t>
            </w:r>
            <w:proofErr w:type="gramEnd"/>
            <w:r w:rsidRPr="000F464D">
              <w:rPr>
                <w:lang w:val="en-GB" w:eastAsia="ja-JP"/>
              </w:rPr>
              <w:t xml:space="preserve">&lt;6GHz), 60 or 120 kHz (&gt;6GHz) are applicable. Corresponds to L1 parameter 'prach-Msg1SubcarrierSpacing' (see 38.211, section </w:t>
            </w:r>
            <w:proofErr w:type="spellStart"/>
            <w:r w:rsidRPr="000F464D">
              <w:rPr>
                <w:lang w:val="en-GB" w:eastAsia="ja-JP"/>
              </w:rPr>
              <w:t>FFS_Section</w:t>
            </w:r>
            <w:proofErr w:type="spellEnd"/>
            <w:r w:rsidRPr="000F464D">
              <w:rPr>
                <w:lang w:val="en-GB" w:eastAsia="ja-JP"/>
              </w:rPr>
              <w:t xml:space="preserve">). 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642B3437" w14:textId="38515EBC" w:rsidR="00543EE3" w:rsidRPr="007D0014" w:rsidRDefault="00543EE3" w:rsidP="003612EE">
      <w:pPr>
        <w:pStyle w:val="BodyText"/>
        <w:spacing w:before="120"/>
        <w:rPr>
          <w:rFonts w:cs="Arial"/>
        </w:rPr>
      </w:pPr>
      <w:r w:rsidRPr="007D0014">
        <w:rPr>
          <w:rFonts w:cs="Arial"/>
        </w:rPr>
        <w:t xml:space="preserve">Clearly, only subcarrier spacings of 15 and 30 kHz are supported for PRACH for FR1. Support for 60kHz SCS for PRACH would require modifications to the signaling specified for Rel-15 NR. Furthermore, from an initial access perspective, since 60 kHz for DRS is out-of-scope for the WI (see WID in </w:t>
      </w:r>
      <w:r>
        <w:rPr>
          <w:rFonts w:cs="Arial"/>
        </w:rPr>
        <w:fldChar w:fldCharType="begin"/>
      </w:r>
      <w:r w:rsidRPr="007D0014">
        <w:rPr>
          <w:rFonts w:cs="Arial"/>
        </w:rPr>
        <w:instrText xml:space="preserve"> REF _Ref534127550 \r \h </w:instrText>
      </w:r>
      <w:r>
        <w:rPr>
          <w:rFonts w:cs="Arial"/>
        </w:rPr>
      </w:r>
      <w:r>
        <w:rPr>
          <w:rFonts w:cs="Arial"/>
        </w:rPr>
        <w:fldChar w:fldCharType="separate"/>
      </w:r>
      <w:r w:rsidR="000B4707">
        <w:rPr>
          <w:rFonts w:cs="Arial"/>
        </w:rPr>
        <w:t>[7]</w:t>
      </w:r>
      <w:r>
        <w:rPr>
          <w:rFonts w:cs="Arial"/>
        </w:rPr>
        <w:fldChar w:fldCharType="end"/>
      </w:r>
      <w:r w:rsidRPr="0023797C">
        <w:rPr>
          <w:rFonts w:cs="Arial"/>
        </w:rPr>
        <w:t xml:space="preserve">), it does not appear to be beneficial to support 60 kHz only for PRACH. Moreover, from a NR-U performance perspective, </w:t>
      </w:r>
      <w:r w:rsidRPr="007D0014">
        <w:rPr>
          <w:rFonts w:cs="Arial"/>
        </w:rPr>
        <w:t xml:space="preserve">we have not observed improved performance for 60 kHz SCS compared to 30 kHz for data (see evaluation in </w:t>
      </w:r>
      <w:r>
        <w:rPr>
          <w:rFonts w:cs="Arial"/>
        </w:rPr>
        <w:fldChar w:fldCharType="begin"/>
      </w:r>
      <w:r w:rsidRPr="007D0014">
        <w:rPr>
          <w:rFonts w:cs="Arial"/>
        </w:rPr>
        <w:instrText xml:space="preserve"> REF _Ref534894017 \r \h </w:instrText>
      </w:r>
      <w:r>
        <w:rPr>
          <w:rFonts w:cs="Arial"/>
        </w:rPr>
      </w:r>
      <w:r>
        <w:rPr>
          <w:rFonts w:cs="Arial"/>
        </w:rPr>
        <w:fldChar w:fldCharType="separate"/>
      </w:r>
      <w:r w:rsidR="000B4707">
        <w:rPr>
          <w:rFonts w:cs="Arial"/>
        </w:rPr>
        <w:t>[8]</w:t>
      </w:r>
      <w:r>
        <w:rPr>
          <w:rFonts w:cs="Arial"/>
        </w:rPr>
        <w:fldChar w:fldCharType="end"/>
      </w:r>
      <w:r w:rsidRPr="0023797C">
        <w:rPr>
          <w:rFonts w:cs="Arial"/>
        </w:rPr>
        <w:t xml:space="preserve">). </w:t>
      </w:r>
      <w:r w:rsidRPr="007D0014">
        <w:rPr>
          <w:rFonts w:cs="Arial"/>
        </w:rPr>
        <w:t>Based on this, we propose the following:</w:t>
      </w:r>
    </w:p>
    <w:p w14:paraId="6E6C4C78" w14:textId="2E4F76B6" w:rsidR="00543EE3" w:rsidRPr="007D0014" w:rsidRDefault="003612EE" w:rsidP="00543EE3">
      <w:pPr>
        <w:pStyle w:val="Proposal"/>
        <w:tabs>
          <w:tab w:val="clear" w:pos="1304"/>
        </w:tabs>
        <w:overflowPunct/>
        <w:autoSpaceDE/>
        <w:autoSpaceDN/>
        <w:adjustRightInd/>
        <w:spacing w:line="259" w:lineRule="auto"/>
        <w:ind w:left="1710" w:hanging="1710"/>
        <w:textAlignment w:val="auto"/>
      </w:pPr>
      <w:bookmarkStart w:id="76" w:name="_Toc520113627"/>
      <w:bookmarkStart w:id="77" w:name="_Toc520130616"/>
      <w:bookmarkStart w:id="78" w:name="_Toc1070645"/>
      <w:bookmarkEnd w:id="76"/>
      <w:bookmarkEnd w:id="77"/>
      <w:r>
        <w:t xml:space="preserve">As in NR Rel-15, </w:t>
      </w:r>
      <w:r w:rsidR="00543EE3" w:rsidRPr="007D0014">
        <w:t xml:space="preserve">60 kHz SCS for PRACH is not supported </w:t>
      </w:r>
      <w:r>
        <w:t>in FR1</w:t>
      </w:r>
      <w:r w:rsidR="00543EE3" w:rsidRPr="007D0014">
        <w:t>.</w:t>
      </w:r>
      <w:bookmarkEnd w:id="78"/>
    </w:p>
    <w:p w14:paraId="4BBE9925" w14:textId="35451A3D" w:rsidR="00543EE3" w:rsidRDefault="00543EE3" w:rsidP="00543EE3">
      <w:pPr>
        <w:pStyle w:val="Heading2"/>
      </w:pPr>
      <w:bookmarkStart w:id="79" w:name="_Toc533002897"/>
      <w:r>
        <w:t>3.1</w:t>
      </w:r>
      <w:r>
        <w:tab/>
      </w:r>
      <w:r w:rsidR="005B4AC6">
        <w:t xml:space="preserve">Design Considerations for </w:t>
      </w:r>
      <w:r>
        <w:t>PRB-Based Interlaced PRACH</w:t>
      </w:r>
      <w:bookmarkEnd w:id="79"/>
    </w:p>
    <w:p w14:paraId="6A05FC87" w14:textId="77777777" w:rsidR="00543EE3" w:rsidRPr="007D0014" w:rsidRDefault="00543EE3" w:rsidP="00543EE3">
      <w:pPr>
        <w:pStyle w:val="BodyText"/>
      </w:pPr>
      <w:r w:rsidRPr="0023797C">
        <w:t>In NR Rel-15,</w:t>
      </w:r>
      <w:r w:rsidRPr="007D0014">
        <w:t xml:space="preserve"> PRACH for a given user consists of the transmission of a length-139 </w:t>
      </w:r>
      <w:proofErr w:type="spellStart"/>
      <w:r w:rsidRPr="007D0014">
        <w:t>Zadoff</w:t>
      </w:r>
      <w:proofErr w:type="spellEnd"/>
      <w:r w:rsidRPr="007D0014">
        <w:t xml:space="preserve">-Chu sequence in multiple consecutive OFDM symbols. This is accomplished by mapping values of the FFT of the Z-C sequence </w:t>
      </w:r>
      <w:r w:rsidRPr="007D0014">
        <w:lastRenderedPageBreak/>
        <w:t>to contiguous PRBs in the frequency domain. For the short preamble (length 139), 12 PRBs (144 REs) are needed. Due to the contiguous mapping in the frequency domain, when the IFFT is performed at the UE transmitter, the attractive properties of the Z-C sequence are preserved. Namely, the cross-correlation between the sequence and a cyclically shifted version of the same sequence is non-zero only at the lag corresponding to the cyclic shift (delay). Furthermore, the cross-correlation between two sequences with different roots is constant at all lags with value 1/</w:t>
      </w:r>
      <w:proofErr w:type="gramStart"/>
      <w:r w:rsidRPr="007D0014">
        <w:t>sqrt(</w:t>
      </w:r>
      <w:proofErr w:type="gramEnd"/>
      <w:r w:rsidRPr="007D0014">
        <w:t>139). Both are desirable from a PRACH detection and timing estimation point of view.</w:t>
      </w:r>
    </w:p>
    <w:p w14:paraId="02B5A9F4" w14:textId="41E02E5C" w:rsidR="00543EE3" w:rsidRPr="007D0014" w:rsidRDefault="00543EE3" w:rsidP="00543EE3">
      <w:pPr>
        <w:pStyle w:val="BodyText"/>
      </w:pPr>
      <w:r w:rsidRPr="007D0014">
        <w:t xml:space="preserve">For the case of no interlacing (NR baseline), the output of the PRACH detector is shown in </w:t>
      </w:r>
      <w:r>
        <w:fldChar w:fldCharType="begin"/>
      </w:r>
      <w:r w:rsidRPr="007D0014">
        <w:instrText xml:space="preserve"> REF _Ref519862357 \h </w:instrText>
      </w:r>
      <w:r>
        <w:fldChar w:fldCharType="separate"/>
      </w:r>
      <w:r w:rsidR="000B4707" w:rsidRPr="007D0014">
        <w:t xml:space="preserve">Figure </w:t>
      </w:r>
      <w:r w:rsidR="000B4707">
        <w:rPr>
          <w:noProof/>
        </w:rPr>
        <w:t>6</w:t>
      </w:r>
      <w:r>
        <w:fldChar w:fldCharType="end"/>
      </w:r>
      <w:r w:rsidRPr="0023797C">
        <w:t xml:space="preserve">(a) when the hypothesized sequence is </w:t>
      </w:r>
      <w:r w:rsidRPr="007D0014">
        <w:t xml:space="preserve">the same as the transmitted sequence. The PRACH detector performs a correlation between the received sample sequence and the hypothesized PRACH sequence. In this example, the sub-carrier spacing is 30 kHz, an AWGN channel with propagation delay 1 </w:t>
      </w:r>
      <w:proofErr w:type="spellStart"/>
      <w:r>
        <w:rPr>
          <w:rFonts w:cs="Arial"/>
        </w:rPr>
        <w:t>μ</w:t>
      </w:r>
      <w:r w:rsidRPr="0023797C">
        <w:t>s</w:t>
      </w:r>
      <w:proofErr w:type="spellEnd"/>
      <w:r w:rsidRPr="0023797C">
        <w:t xml:space="preserve"> is assumed, and the SNR is very large (no noise). </w:t>
      </w:r>
      <w:r w:rsidRPr="007D0014">
        <w:t xml:space="preserve">Clearly the detector output has a peak at 1 us resulting in an accurate timing estimate. </w:t>
      </w:r>
      <w:r>
        <w:fldChar w:fldCharType="begin"/>
      </w:r>
      <w:r w:rsidRPr="007D0014">
        <w:instrText xml:space="preserve"> REF _Ref519862357 \h </w:instrText>
      </w:r>
      <w:r>
        <w:fldChar w:fldCharType="separate"/>
      </w:r>
      <w:r w:rsidR="000B4707" w:rsidRPr="007D0014">
        <w:t xml:space="preserve">Figure </w:t>
      </w:r>
      <w:r w:rsidR="000B4707">
        <w:rPr>
          <w:noProof/>
        </w:rPr>
        <w:t>6</w:t>
      </w:r>
      <w:r>
        <w:fldChar w:fldCharType="end"/>
      </w:r>
      <w:r w:rsidRPr="0023797C">
        <w:t xml:space="preserve">(b) shows the PRACH detector output when the hypothesized sequence is </w:t>
      </w:r>
      <w:r w:rsidRPr="007D0014">
        <w:t>different than the transmitted sequence. Evidently, the detector output is small at all lags consistent with the cross-correlation properties of Z-C sequences mentioned above.</w:t>
      </w:r>
    </w:p>
    <w:p w14:paraId="0E45A021" w14:textId="77777777" w:rsidR="00543EE3" w:rsidRPr="007D0014" w:rsidRDefault="00543EE3" w:rsidP="00543EE3">
      <w:pPr>
        <w:pStyle w:val="BodyText"/>
      </w:pPr>
    </w:p>
    <w:p w14:paraId="201CC518"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1BBF8AEA" wp14:editId="1E40F938">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3DA59463" wp14:editId="143A78E7">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AC1EF8E" w14:textId="77777777" w:rsidR="00543EE3" w:rsidRPr="007D0014" w:rsidRDefault="00543EE3" w:rsidP="00543EE3">
      <w:pPr>
        <w:pStyle w:val="BodyText"/>
        <w:keepNext/>
        <w:tabs>
          <w:tab w:val="center" w:pos="2880"/>
          <w:tab w:val="center" w:pos="6480"/>
        </w:tabs>
        <w:spacing w:after="0"/>
      </w:pPr>
      <w:r w:rsidRPr="007325AD">
        <w:tab/>
      </w:r>
      <w:r w:rsidRPr="0023797C">
        <w:t>(a)</w:t>
      </w:r>
      <w:r w:rsidRPr="0023797C">
        <w:tab/>
        <w:t>(b)</w:t>
      </w:r>
    </w:p>
    <w:p w14:paraId="4D0FD927" w14:textId="27931A6D" w:rsidR="00543EE3" w:rsidRPr="007D0014" w:rsidRDefault="00543EE3" w:rsidP="00543EE3">
      <w:pPr>
        <w:pStyle w:val="Caption"/>
        <w:jc w:val="both"/>
      </w:pPr>
      <w:bookmarkStart w:id="80" w:name="_Ref519862357"/>
      <w:r w:rsidRPr="007D0014">
        <w:t xml:space="preserve">Figure </w:t>
      </w:r>
      <w:r>
        <w:rPr>
          <w:noProof/>
        </w:rPr>
        <w:fldChar w:fldCharType="begin"/>
      </w:r>
      <w:r w:rsidRPr="007D0014">
        <w:rPr>
          <w:noProof/>
        </w:rPr>
        <w:instrText xml:space="preserve"> SEQ Figure \* ARABIC </w:instrText>
      </w:r>
      <w:r>
        <w:rPr>
          <w:noProof/>
        </w:rPr>
        <w:fldChar w:fldCharType="separate"/>
      </w:r>
      <w:r w:rsidR="000B4707">
        <w:rPr>
          <w:noProof/>
        </w:rPr>
        <w:t>6</w:t>
      </w:r>
      <w:r>
        <w:rPr>
          <w:noProof/>
        </w:rPr>
        <w:fldChar w:fldCharType="end"/>
      </w:r>
      <w:bookmarkEnd w:id="80"/>
      <w:r w:rsidRPr="0023797C">
        <w:t xml:space="preserve">: PRACH detector output </w:t>
      </w:r>
      <w:r w:rsidRPr="007D0014">
        <w:t xml:space="preserve">for no interlacing, SCS = 30 kHz, AWGN channel, delay = 1 </w:t>
      </w:r>
      <w:proofErr w:type="spellStart"/>
      <w:r>
        <w:t>μ</w:t>
      </w:r>
      <w:r w:rsidRPr="0023797C">
        <w:t>s</w:t>
      </w:r>
      <w:proofErr w:type="spellEnd"/>
      <w:r w:rsidRPr="0023797C">
        <w:t xml:space="preserve"> when the hypothesized sequence is either </w:t>
      </w:r>
      <w:r w:rsidRPr="007D0014">
        <w:t>(a) same, or (b) different than the transmitted PRACH sequence.</w:t>
      </w:r>
    </w:p>
    <w:p w14:paraId="740A7A57" w14:textId="77777777" w:rsidR="00543EE3" w:rsidRPr="007D0014" w:rsidRDefault="00543EE3" w:rsidP="00543EE3">
      <w:pPr>
        <w:pStyle w:val="BodyText"/>
      </w:pPr>
      <w:r w:rsidRPr="007D0014">
        <w:t>Unlike baseline NR, the Z-C sequence for PRACH is not mapped to contiguous PRBs for the case of a PRB-based interlace design. This affects the autocorrelation properties of the transmitted sequence. Namely, sidelobes (or false peaks) are introduced. If care is not taken in the interlace design, the sidelobes could lead to timing estimation errors. However, if the interlace design ensures that the sidelobe levels are sufficiently low, then this issue is avoided, since the PRACH detection and timing estimation is based on finding the peak with the maximum amplitude. Fortunately, the shape of the sequence autocorrelation and thus the sidelobe levels are a function only of the interlace design, not of individual Z-C sequence roots, thus simplifying the design problem. The key to controlling the sidelobe levels is to introduce some irregularity into the PRB pattern. We have found that it does not take much irregularity to have a well-performing design.</w:t>
      </w:r>
    </w:p>
    <w:p w14:paraId="51045F41" w14:textId="1861E14F" w:rsidR="00543EE3" w:rsidRDefault="00A87E50" w:rsidP="00543EE3">
      <w:pPr>
        <w:pStyle w:val="BodyText"/>
      </w:pPr>
      <w:r>
        <w:fldChar w:fldCharType="begin"/>
      </w:r>
      <w:r>
        <w:instrText xml:space="preserve"> REF _Ref972496 \h </w:instrText>
      </w:r>
      <w:r>
        <w:fldChar w:fldCharType="separate"/>
      </w:r>
      <w:r w:rsidR="000B4707" w:rsidRPr="007D0014">
        <w:t xml:space="preserve">Figure </w:t>
      </w:r>
      <w:r w:rsidR="000B4707">
        <w:rPr>
          <w:noProof/>
        </w:rPr>
        <w:t>7</w:t>
      </w:r>
      <w:r>
        <w:fldChar w:fldCharType="end"/>
      </w:r>
      <w:r>
        <w:t xml:space="preserve"> below </w:t>
      </w:r>
      <w:r w:rsidR="00543EE3" w:rsidRPr="007D0014">
        <w:t xml:space="preserve">shows an exemplary design for the case of 20 MHz channel with 30 kHz SCS in which RAN4 has defined 51 PRBs. </w:t>
      </w:r>
      <w:r>
        <w:t xml:space="preserve">This example uses the same interlace structure as agreed for PUSCH/PUCCH, i.e., 5 interlaces with either 10 or 11 PRBs per interlace. </w:t>
      </w:r>
      <w:r w:rsidR="00543EE3" w:rsidRPr="007D0014">
        <w:t xml:space="preserve">We note that one RACH occasion (RO) in the frequency domain requires 12 PRBs, whereas a single interlace has only 10 </w:t>
      </w:r>
      <w:r>
        <w:t xml:space="preserve">or 11 </w:t>
      </w:r>
      <w:r w:rsidR="00543EE3" w:rsidRPr="007D0014">
        <w:t xml:space="preserve">PRBs. However, this fact can be used to introduce the required irregularity for PRACH. The extra 2 PRBs can be placed in such a way to “break up” the regular interlace pattern. As can be seen in </w:t>
      </w:r>
      <w:r>
        <w:fldChar w:fldCharType="begin"/>
      </w:r>
      <w:r>
        <w:instrText xml:space="preserve"> REF _Ref972496 \h </w:instrText>
      </w:r>
      <w:r>
        <w:fldChar w:fldCharType="separate"/>
      </w:r>
      <w:r w:rsidR="000B4707" w:rsidRPr="007D0014">
        <w:t xml:space="preserve">Figure </w:t>
      </w:r>
      <w:r w:rsidR="000B4707">
        <w:rPr>
          <w:noProof/>
        </w:rPr>
        <w:t>7</w:t>
      </w:r>
      <w:r>
        <w:fldChar w:fldCharType="end"/>
      </w:r>
      <w:r w:rsidR="00543EE3" w:rsidRPr="0023797C">
        <w:t>, RO1 uses all ten</w:t>
      </w:r>
      <w:r w:rsidR="00543EE3" w:rsidRPr="007D0014">
        <w:t xml:space="preserve"> PRBs of Interlace 1 and two PRBs of Interlace 3. Similarly, RO2, uses all ten PRBs of Interlace 2 and two PRBs of Interlace 4. RO3 and RO4 are defined in a similar fashion except minor adjustments to the pattern are needed in case either RO1 or 2 have already used a PRB.</w:t>
      </w:r>
    </w:p>
    <w:p w14:paraId="04B374DF" w14:textId="3E2FCEF6" w:rsidR="005B4AC6" w:rsidRDefault="00A87E50" w:rsidP="005B4AC6">
      <w:pPr>
        <w:pStyle w:val="BodyText"/>
      </w:pPr>
      <w:r w:rsidRPr="007D0014">
        <w:t xml:space="preserve">With </w:t>
      </w:r>
      <w:r w:rsidR="005B4AC6">
        <w:t>this</w:t>
      </w:r>
      <w:r w:rsidRPr="007D0014">
        <w:t xml:space="preserve"> design, it is easy to FDM multiplex PUSCH/PUCCH </w:t>
      </w:r>
      <w:r>
        <w:t xml:space="preserve">for the same or different user </w:t>
      </w:r>
      <w:r w:rsidRPr="007D0014">
        <w:t xml:space="preserve">on the unused interlaces. For example, if only RO1 and 2 are configured, </w:t>
      </w:r>
      <w:proofErr w:type="gramStart"/>
      <w:r w:rsidRPr="007D0014">
        <w:t>Interlaces</w:t>
      </w:r>
      <w:proofErr w:type="gramEnd"/>
      <w:r w:rsidRPr="007D0014">
        <w:t xml:space="preserve"> 3, 4, and 5 are available for PUSCH/PUCCH except in 4 distinct PRB locations (3, 9, 23, and 29) where the extra 2 out of 12 PRBs for PRACH RO1 and RO2 are allocated outside their “primary” interlaces. These exceptions would be known to the UE since it is naturally aware of the PRACH configuration pattern through broadcast signalling (SIB1).</w:t>
      </w:r>
      <w:r w:rsidR="005B4AC6">
        <w:br w:type="page"/>
      </w:r>
    </w:p>
    <w:p w14:paraId="4DB08282" w14:textId="77777777" w:rsidR="00A87E50" w:rsidRDefault="00A87E50" w:rsidP="00543EE3">
      <w:pPr>
        <w:pStyle w:val="BodyText"/>
      </w:pPr>
    </w:p>
    <w:p w14:paraId="0289E736" w14:textId="77777777" w:rsidR="00A87E50" w:rsidRDefault="00A87E50" w:rsidP="00A87E50">
      <w:pPr>
        <w:jc w:val="center"/>
      </w:pPr>
      <w:r w:rsidRPr="00580BBC">
        <w:rPr>
          <w:noProof/>
        </w:rPr>
        <w:drawing>
          <wp:inline distT="0" distB="0" distL="0" distR="0" wp14:anchorId="30B96F90" wp14:editId="54F9BFCD">
            <wp:extent cx="3374136" cy="777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112639F3" w14:textId="42276BF0" w:rsidR="00A87E50" w:rsidRPr="007D0014" w:rsidRDefault="00A87E50" w:rsidP="00A87E50">
      <w:pPr>
        <w:pStyle w:val="Caption"/>
      </w:pPr>
      <w:bookmarkStart w:id="81" w:name="_Ref972496"/>
      <w:r w:rsidRPr="007D0014">
        <w:t xml:space="preserve">Figure </w:t>
      </w:r>
      <w:r>
        <w:rPr>
          <w:noProof/>
        </w:rPr>
        <w:fldChar w:fldCharType="begin"/>
      </w:r>
      <w:r w:rsidRPr="007D0014">
        <w:rPr>
          <w:noProof/>
        </w:rPr>
        <w:instrText xml:space="preserve"> SEQ Figure \* ARABIC </w:instrText>
      </w:r>
      <w:r>
        <w:rPr>
          <w:noProof/>
        </w:rPr>
        <w:fldChar w:fldCharType="separate"/>
      </w:r>
      <w:r w:rsidR="000B4707">
        <w:rPr>
          <w:noProof/>
        </w:rPr>
        <w:t>7</w:t>
      </w:r>
      <w:r>
        <w:rPr>
          <w:noProof/>
        </w:rPr>
        <w:fldChar w:fldCharType="end"/>
      </w:r>
      <w:bookmarkEnd w:id="81"/>
      <w:r w:rsidRPr="007D0014">
        <w:t xml:space="preserve">: Exemplary PRB-based interlace design for PRACH for 30 kHz </w:t>
      </w:r>
      <w:r>
        <w:t>using the same interlace structure as for PUSCH/PUCCH</w:t>
      </w:r>
      <w:r w:rsidRPr="007D0014">
        <w:t xml:space="preserve">. Interlaces 2,3,4,5 have 10 PRBs per interlace; Interlace 1 has 11. Four RACH occasions (RO) in the frequency domain are shown where each </w:t>
      </w:r>
      <w:r>
        <w:t>RO</w:t>
      </w:r>
      <w:r w:rsidRPr="007D0014">
        <w:t xml:space="preserve"> consists of 12 PRBs (144 sub-carriers).</w:t>
      </w:r>
    </w:p>
    <w:p w14:paraId="438A6FA6" w14:textId="30EA17B6" w:rsidR="005B4AC6" w:rsidRPr="005B4AC6" w:rsidRDefault="005B4AC6" w:rsidP="005B4AC6">
      <w:pPr>
        <w:overflowPunct/>
        <w:autoSpaceDE/>
        <w:autoSpaceDN/>
        <w:adjustRightInd/>
        <w:spacing w:after="0"/>
        <w:textAlignment w:val="auto"/>
        <w:rPr>
          <w:rFonts w:ascii="Arial" w:hAnsi="Arial"/>
          <w:lang w:eastAsia="zh-CN"/>
        </w:rPr>
      </w:pPr>
      <w:r>
        <w:br w:type="page"/>
      </w:r>
    </w:p>
    <w:p w14:paraId="05235C3F" w14:textId="7D16C230" w:rsidR="00543EE3" w:rsidRPr="007D0014" w:rsidRDefault="00543EE3" w:rsidP="00543EE3">
      <w:pPr>
        <w:pStyle w:val="BodyText"/>
      </w:pPr>
      <w:r>
        <w:lastRenderedPageBreak/>
        <w:fldChar w:fldCharType="begin"/>
      </w:r>
      <w:r w:rsidRPr="007D0014">
        <w:instrText xml:space="preserve"> REF _Ref519865665 \h </w:instrText>
      </w:r>
      <w:r>
        <w:fldChar w:fldCharType="separate"/>
      </w:r>
      <w:r w:rsidR="000B4707" w:rsidRPr="007D0014">
        <w:t xml:space="preserve">Figure </w:t>
      </w:r>
      <w:r w:rsidR="000B4707">
        <w:rPr>
          <w:noProof/>
        </w:rPr>
        <w:t>8</w:t>
      </w:r>
      <w:r>
        <w:fldChar w:fldCharType="end"/>
      </w:r>
      <w:r w:rsidRPr="0023797C">
        <w:t xml:space="preserve"> shows the output of the PRACH detector</w:t>
      </w:r>
      <w:r w:rsidRPr="007D0014">
        <w:t xml:space="preserve"> for the </w:t>
      </w:r>
      <w:r w:rsidR="005B4AC6">
        <w:t xml:space="preserve">above </w:t>
      </w:r>
      <w:r w:rsidRPr="007D0014">
        <w:t>interlacing design</w:t>
      </w:r>
      <w:r w:rsidR="005B4AC6">
        <w:t xml:space="preserve">. </w:t>
      </w:r>
      <w:r w:rsidRPr="007D0014">
        <w:t xml:space="preserve">As </w:t>
      </w:r>
      <w:r w:rsidR="005B4AC6">
        <w:t xml:space="preserve">in </w:t>
      </w:r>
      <w:r w:rsidR="005B4AC6">
        <w:fldChar w:fldCharType="begin"/>
      </w:r>
      <w:r w:rsidR="005B4AC6">
        <w:instrText xml:space="preserve"> REF _Ref519862357 \h </w:instrText>
      </w:r>
      <w:r w:rsidR="005B4AC6">
        <w:fldChar w:fldCharType="separate"/>
      </w:r>
      <w:r w:rsidR="000B4707" w:rsidRPr="007D0014">
        <w:t xml:space="preserve">Figure </w:t>
      </w:r>
      <w:r w:rsidR="000B4707">
        <w:rPr>
          <w:noProof/>
        </w:rPr>
        <w:t>6</w:t>
      </w:r>
      <w:r w:rsidR="005B4AC6">
        <w:fldChar w:fldCharType="end"/>
      </w:r>
      <w:r w:rsidR="005B4AC6">
        <w:t xml:space="preserve">, </w:t>
      </w:r>
      <w:r w:rsidRPr="007D0014">
        <w:t xml:space="preserve">the output is shown for the case that the hypothesized sequence is (a) the same, or (b) different than the transmitted sequence, thus illustrating the auto- and cross-correlation properties. As mentioned </w:t>
      </w:r>
      <w:r w:rsidR="005B4AC6">
        <w:t>previously</w:t>
      </w:r>
      <w:r w:rsidRPr="007D0014">
        <w:t xml:space="preserve">, the non-contiguous mapping of the PRACH sequence in the frequency domain causes the auto-correlation to have sidelobes as illustrated in </w:t>
      </w:r>
      <w:r>
        <w:fldChar w:fldCharType="begin"/>
      </w:r>
      <w:r w:rsidRPr="007D0014">
        <w:instrText xml:space="preserve"> REF _Ref519865665 \h </w:instrText>
      </w:r>
      <w:r>
        <w:fldChar w:fldCharType="separate"/>
      </w:r>
      <w:r w:rsidR="000B4707" w:rsidRPr="007D0014">
        <w:t xml:space="preserve">Figure </w:t>
      </w:r>
      <w:r w:rsidR="000B4707">
        <w:rPr>
          <w:noProof/>
        </w:rPr>
        <w:t>8</w:t>
      </w:r>
      <w:r>
        <w:fldChar w:fldCharType="end"/>
      </w:r>
      <w:r w:rsidRPr="0023797C">
        <w:t xml:space="preserve">(a); however, </w:t>
      </w:r>
      <w:r w:rsidRPr="007D0014">
        <w:t xml:space="preserve">the sidelobe levels have been controlled by introducing some irregularity into the mapping. The resulting autocorrelation has a dominant peak at the true delay (1 </w:t>
      </w:r>
      <w:proofErr w:type="spellStart"/>
      <w:r>
        <w:rPr>
          <w:rFonts w:cs="Arial"/>
        </w:rPr>
        <w:t>μ</w:t>
      </w:r>
      <w:r w:rsidRPr="0023797C">
        <w:t>s</w:t>
      </w:r>
      <w:proofErr w:type="spellEnd"/>
      <w:r w:rsidRPr="0023797C">
        <w:t>). Even in the pr</w:t>
      </w:r>
      <w:r w:rsidRPr="007D0014">
        <w:t>esence of a dispersive channel where the peak can be “smeared,” we have found that with this level of dominance, the performance is still very good, and compares favourably to the case of no interlacing.</w:t>
      </w:r>
    </w:p>
    <w:p w14:paraId="389691DD" w14:textId="77777777" w:rsidR="00543EE3" w:rsidRPr="007D0014" w:rsidRDefault="00543EE3" w:rsidP="00543EE3">
      <w:pPr>
        <w:pStyle w:val="BodyText"/>
      </w:pPr>
      <w:r w:rsidRPr="007D0014">
        <w:t xml:space="preserve">We note that further optimization of the patterns is </w:t>
      </w:r>
      <w:proofErr w:type="gramStart"/>
      <w:r w:rsidRPr="007D0014">
        <w:t>possible, and</w:t>
      </w:r>
      <w:proofErr w:type="gramEnd"/>
      <w:r w:rsidRPr="007D0014">
        <w:t xml:space="preserve">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03668EE0"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223CEEB7" wp14:editId="169EB02F">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60D9BC69" wp14:editId="1C1DF0F9">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083D4B6" w14:textId="77777777" w:rsidR="00543EE3" w:rsidRPr="0023797C" w:rsidRDefault="00543EE3" w:rsidP="00543EE3">
      <w:pPr>
        <w:pStyle w:val="BodyText"/>
        <w:keepNext/>
        <w:tabs>
          <w:tab w:val="center" w:pos="2880"/>
          <w:tab w:val="center" w:pos="6480"/>
        </w:tabs>
        <w:spacing w:after="0"/>
      </w:pPr>
      <w:r w:rsidRPr="00724CEB">
        <w:tab/>
      </w:r>
      <w:r w:rsidRPr="0023797C">
        <w:t>(a)</w:t>
      </w:r>
      <w:r w:rsidRPr="0023797C">
        <w:tab/>
        <w:t>(b)</w:t>
      </w:r>
    </w:p>
    <w:p w14:paraId="2C83F979" w14:textId="2F6FAFF9" w:rsidR="00543EE3" w:rsidRPr="007D0014" w:rsidRDefault="00543EE3" w:rsidP="00543EE3">
      <w:pPr>
        <w:pStyle w:val="Caption"/>
        <w:jc w:val="both"/>
      </w:pPr>
      <w:bookmarkStart w:id="82" w:name="_Ref519865665"/>
      <w:r w:rsidRPr="007D0014">
        <w:t xml:space="preserve">Figure </w:t>
      </w:r>
      <w:r>
        <w:rPr>
          <w:noProof/>
        </w:rPr>
        <w:fldChar w:fldCharType="begin"/>
      </w:r>
      <w:r w:rsidRPr="007D0014">
        <w:rPr>
          <w:noProof/>
        </w:rPr>
        <w:instrText xml:space="preserve"> SEQ Figure \* ARABIC </w:instrText>
      </w:r>
      <w:r>
        <w:rPr>
          <w:noProof/>
        </w:rPr>
        <w:fldChar w:fldCharType="separate"/>
      </w:r>
      <w:r w:rsidR="000B4707">
        <w:rPr>
          <w:noProof/>
        </w:rPr>
        <w:t>8</w:t>
      </w:r>
      <w:r>
        <w:rPr>
          <w:noProof/>
        </w:rPr>
        <w:fldChar w:fldCharType="end"/>
      </w:r>
      <w:bookmarkEnd w:id="82"/>
      <w:r w:rsidRPr="0023797C">
        <w:t xml:space="preserve">: PRACH detector output for </w:t>
      </w:r>
      <w:r w:rsidRPr="007D0014">
        <w:t xml:space="preserve">the PRB-based interlacing design in </w:t>
      </w:r>
      <w:r w:rsidR="005B4AC6">
        <w:fldChar w:fldCharType="begin"/>
      </w:r>
      <w:r w:rsidR="005B4AC6">
        <w:instrText xml:space="preserve"> REF _Ref972496 \h </w:instrText>
      </w:r>
      <w:r w:rsidR="005B4AC6">
        <w:fldChar w:fldCharType="separate"/>
      </w:r>
      <w:r w:rsidR="000B4707" w:rsidRPr="007D0014">
        <w:t xml:space="preserve">Figure </w:t>
      </w:r>
      <w:r w:rsidR="000B4707">
        <w:rPr>
          <w:noProof/>
        </w:rPr>
        <w:t>7</w:t>
      </w:r>
      <w:r w:rsidR="005B4AC6">
        <w:fldChar w:fldCharType="end"/>
      </w:r>
      <w:r w:rsidRPr="0023797C">
        <w:t xml:space="preserve"> for SCS = 30 kHz, AWGN channel, delay = 1 </w:t>
      </w:r>
      <w:proofErr w:type="spellStart"/>
      <w:r>
        <w:t>μ</w:t>
      </w:r>
      <w:r w:rsidRPr="0023797C">
        <w:t>s</w:t>
      </w:r>
      <w:proofErr w:type="spellEnd"/>
      <w:r w:rsidRPr="0023797C">
        <w:t xml:space="preserve"> when the hypothesized sequence is either (a) same, or (b) different than the transmitted PRACH sequence.</w:t>
      </w:r>
    </w:p>
    <w:p w14:paraId="5E066901" w14:textId="370C55B3" w:rsidR="00543EE3" w:rsidRDefault="00543EE3" w:rsidP="00543EE3">
      <w:pPr>
        <w:pStyle w:val="Heading2"/>
      </w:pPr>
      <w:bookmarkStart w:id="83" w:name="_Toc533002898"/>
      <w:r>
        <w:t>3.2</w:t>
      </w:r>
      <w:r>
        <w:tab/>
        <w:t>Performance of PRB-Interlaced PRACH</w:t>
      </w:r>
      <w:bookmarkEnd w:id="83"/>
    </w:p>
    <w:p w14:paraId="5152F4D5" w14:textId="3594DF90" w:rsidR="00652C19" w:rsidRDefault="00543EE3" w:rsidP="00543EE3">
      <w:pPr>
        <w:pStyle w:val="BodyText"/>
      </w:pPr>
      <w:r w:rsidRPr="0023797C">
        <w:t xml:space="preserve">In the previous section, it is argued that an interlaced design with controlled sidelobes is desirable. </w:t>
      </w:r>
      <w:r w:rsidRPr="007D0014">
        <w:t xml:space="preserve">Ultimately, what matters is the PRACH performance in terms of </w:t>
      </w:r>
      <w:r w:rsidR="005B4AC6">
        <w:t xml:space="preserve">miss-detection probably, false-detection probability, and </w:t>
      </w:r>
      <w:r w:rsidRPr="007D0014">
        <w:t>timing estimation error.</w:t>
      </w:r>
      <w:r w:rsidR="000A0DB7">
        <w:t xml:space="preserve"> In our companion paper</w:t>
      </w:r>
      <w:r w:rsidR="007A43BC">
        <w:t xml:space="preserve"> </w:t>
      </w:r>
      <w:r w:rsidR="00FB4F61">
        <w:fldChar w:fldCharType="begin"/>
      </w:r>
      <w:r w:rsidR="00FB4F61">
        <w:instrText xml:space="preserve"> REF _Ref975202 \r \h </w:instrText>
      </w:r>
      <w:r w:rsidR="00FB4F61">
        <w:fldChar w:fldCharType="separate"/>
      </w:r>
      <w:r w:rsidR="00FB4F61">
        <w:t>[9]</w:t>
      </w:r>
      <w:r w:rsidR="00FB4F61">
        <w:fldChar w:fldCharType="end"/>
      </w:r>
      <w:r w:rsidR="00FB4F61">
        <w:t xml:space="preserve">, </w:t>
      </w:r>
      <w:r w:rsidR="007A43BC">
        <w:t xml:space="preserve">we </w:t>
      </w:r>
      <w:r w:rsidR="00FB4F61">
        <w:t>present simulation results of the irregular (non-uniform)</w:t>
      </w:r>
      <w:r w:rsidR="007A43BC">
        <w:t xml:space="preserve"> PRB-based interlace scheme introduced in the previous section. For comparison purposes, we also evaluate the NR Rel-15 contiguous RE design as well as an alternative contiguous</w:t>
      </w:r>
      <w:r w:rsidR="00652C19">
        <w:t xml:space="preserve"> (non-interlaced)</w:t>
      </w:r>
      <w:r w:rsidR="007A43BC">
        <w:t xml:space="preserve"> design consisting of a frequency domain repetition of the NR Rel-15 design. The motivation for considering the repetition design is that it seems to be the option that requires the least degree of spec changes amongst the </w:t>
      </w:r>
      <w:r w:rsidR="00FB4F61">
        <w:t>4 alternative</w:t>
      </w:r>
      <w:r w:rsidR="007A43BC">
        <w:t xml:space="preserve"> schemes </w:t>
      </w:r>
      <w:r w:rsidR="00FB4F61">
        <w:t>identified</w:t>
      </w:r>
      <w:r w:rsidR="007A43BC">
        <w:t xml:space="preserve"> in</w:t>
      </w:r>
      <w:r w:rsidR="00546108">
        <w:t xml:space="preserve"> the TR for the NR-U </w:t>
      </w:r>
      <w:r w:rsidR="007A43BC">
        <w:t>SI</w:t>
      </w:r>
      <w:r w:rsidR="00FB4F61">
        <w:t xml:space="preserve"> </w:t>
      </w:r>
      <w:r w:rsidR="00FB4F61">
        <w:fldChar w:fldCharType="begin"/>
      </w:r>
      <w:r w:rsidR="00FB4F61">
        <w:instrText xml:space="preserve"> REF _Ref534117348 \r \h </w:instrText>
      </w:r>
      <w:r w:rsidR="00FB4F61">
        <w:fldChar w:fldCharType="separate"/>
      </w:r>
      <w:r w:rsidR="00FB4F61">
        <w:t>[1]</w:t>
      </w:r>
      <w:r w:rsidR="00FB4F61">
        <w:fldChar w:fldCharType="end"/>
      </w:r>
      <w:r w:rsidR="00FB4F61">
        <w:t>,</w:t>
      </w:r>
      <w:r w:rsidR="00546108">
        <w:t xml:space="preserve"> Section 7.2.1.2. This design</w:t>
      </w:r>
      <w:r w:rsidR="00FB4F61">
        <w:t xml:space="preserve"> enab</w:t>
      </w:r>
      <w:r w:rsidR="00546108">
        <w:t>les</w:t>
      </w:r>
      <w:r w:rsidR="00FB4F61">
        <w:t xml:space="preserve"> increased maximum transmit power under a PSD constraint compared to the NR Rel-15 design, albeit at the cost of </w:t>
      </w:r>
      <w:r w:rsidR="00344ACD">
        <w:t xml:space="preserve">reduced </w:t>
      </w:r>
      <w:r w:rsidR="00FB4F61">
        <w:t>RACH capacity</w:t>
      </w:r>
      <w:r w:rsidR="00652C19">
        <w:t xml:space="preserve"> and </w:t>
      </w:r>
      <w:r w:rsidR="00344ACD">
        <w:t xml:space="preserve">loss in </w:t>
      </w:r>
      <w:r w:rsidR="00652C19">
        <w:t xml:space="preserve">multiplexing </w:t>
      </w:r>
      <w:r w:rsidR="00344ACD">
        <w:t xml:space="preserve">capability </w:t>
      </w:r>
      <w:r w:rsidR="00652C19">
        <w:t>with PUSCH/PUCCH</w:t>
      </w:r>
      <w:r w:rsidR="00344ACD">
        <w:t xml:space="preserve"> compared to the interlaced scheme proposed here</w:t>
      </w:r>
      <w:r w:rsidR="00FB4F61">
        <w:t xml:space="preserve">. </w:t>
      </w:r>
      <w:r w:rsidR="00344ACD">
        <w:t>Setting aside these trade-offs, i</w:t>
      </w:r>
      <w:r w:rsidR="00652C19">
        <w:t xml:space="preserve">n </w:t>
      </w:r>
      <w:r w:rsidR="00FB4F61">
        <w:fldChar w:fldCharType="begin"/>
      </w:r>
      <w:r w:rsidR="00FB4F61">
        <w:instrText xml:space="preserve"> REF _Ref975202 \r \h </w:instrText>
      </w:r>
      <w:r w:rsidR="00FB4F61">
        <w:fldChar w:fldCharType="separate"/>
      </w:r>
      <w:r w:rsidR="00FB4F61">
        <w:t>[9]</w:t>
      </w:r>
      <w:r w:rsidR="00FB4F61">
        <w:fldChar w:fldCharType="end"/>
      </w:r>
      <w:r w:rsidR="00FB4F61">
        <w:t xml:space="preserve"> we find that both the irregular and repetition schemes perform well for all metrics in the evaluation assumptions agreed in RAN1 AH 190</w:t>
      </w:r>
      <w:r w:rsidR="00546108">
        <w:t>1</w:t>
      </w:r>
      <w:r w:rsidR="00FB4F61">
        <w:t>.</w:t>
      </w:r>
      <w:r w:rsidR="00546108">
        <w:t xml:space="preserve"> </w:t>
      </w:r>
      <w:r w:rsidR="00FB4F61">
        <w:t>Base</w:t>
      </w:r>
      <w:r w:rsidR="00652C19">
        <w:t>d</w:t>
      </w:r>
      <w:r w:rsidR="00FB4F61">
        <w:t xml:space="preserve"> on this we propose </w:t>
      </w:r>
      <w:r w:rsidR="00652C19">
        <w:t>the following:</w:t>
      </w:r>
    </w:p>
    <w:p w14:paraId="72E0CC51" w14:textId="76E8903A" w:rsidR="00543EE3" w:rsidRPr="00543EE3" w:rsidRDefault="00652C19" w:rsidP="00546108">
      <w:pPr>
        <w:pStyle w:val="Proposal"/>
      </w:pPr>
      <w:bookmarkStart w:id="84" w:name="_Toc1070646"/>
      <w:r>
        <w:t>Down-select amongst the following two enhanced PRACH schemes identified in the TR 38.889 for the NR-U SI: (1) non-uniform (irregular) PRB-based interlace mapping using the same interlace structure as for PUSCH/PUCCH (Alt-2 in the TR), and (2) non-interlaced mapping with repetition of the NR Rel-15 PRACH mapping in the frequency domain (Alt-4 in the TR).</w:t>
      </w:r>
      <w:bookmarkEnd w:id="84"/>
    </w:p>
    <w:p w14:paraId="7DBB8471" w14:textId="77777777" w:rsidR="00543EE3" w:rsidRDefault="00543EE3" w:rsidP="00543EE3">
      <w:pPr>
        <w:pStyle w:val="Heading1"/>
      </w:pPr>
      <w:bookmarkStart w:id="85" w:name="_Toc533002899"/>
      <w:bookmarkEnd w:id="70"/>
      <w:bookmarkEnd w:id="71"/>
      <w:bookmarkEnd w:id="72"/>
      <w:bookmarkEnd w:id="73"/>
      <w:bookmarkEnd w:id="74"/>
      <w:bookmarkEnd w:id="75"/>
      <w:r>
        <w:t>4</w:t>
      </w:r>
      <w:r>
        <w:tab/>
      </w:r>
      <w:r w:rsidRPr="00CE0424">
        <w:t>Conclusion</w:t>
      </w:r>
      <w:bookmarkEnd w:id="85"/>
    </w:p>
    <w:p w14:paraId="1DD4EA73" w14:textId="77777777" w:rsidR="00543EE3" w:rsidRPr="007D0014" w:rsidRDefault="00543EE3" w:rsidP="00543EE3">
      <w:pPr>
        <w:pStyle w:val="BodyText"/>
      </w:pPr>
      <w:r w:rsidRPr="007D0014">
        <w:t>Based on the discussion in this paper we observed the following:</w:t>
      </w:r>
    </w:p>
    <w:p w14:paraId="44C187B8" w14:textId="77777777" w:rsidR="00546108" w:rsidRPr="00546108" w:rsidRDefault="00543EE3" w:rsidP="00546108">
      <w:pPr>
        <w:pStyle w:val="TOC1"/>
        <w:tabs>
          <w:tab w:val="left" w:pos="1701"/>
        </w:tabs>
        <w:ind w:left="1710" w:hanging="1710"/>
        <w:rPr>
          <w:rFonts w:ascii="Arial" w:eastAsiaTheme="minorEastAsia" w:hAnsi="Arial" w:cs="Arial"/>
          <w:b/>
          <w:sz w:val="20"/>
          <w:lang w:val="en-US" w:eastAsia="en-US"/>
        </w:rPr>
      </w:pPr>
      <w:r w:rsidRPr="00546108">
        <w:rPr>
          <w:rStyle w:val="Hyperlink"/>
          <w:rFonts w:ascii="Arial" w:hAnsi="Arial" w:cs="Arial"/>
          <w:b/>
          <w:color w:val="auto"/>
          <w:sz w:val="20"/>
          <w:u w:val="none"/>
        </w:rPr>
        <w:lastRenderedPageBreak/>
        <w:fldChar w:fldCharType="begin"/>
      </w:r>
      <w:r w:rsidRPr="00546108">
        <w:rPr>
          <w:rStyle w:val="Hyperlink"/>
          <w:rFonts w:ascii="Arial" w:hAnsi="Arial" w:cs="Arial"/>
          <w:b/>
          <w:color w:val="auto"/>
          <w:sz w:val="20"/>
          <w:u w:val="none"/>
        </w:rPr>
        <w:instrText xml:space="preserve"> TOC \n \t "Observation,1" </w:instrText>
      </w:r>
      <w:r w:rsidRPr="00546108">
        <w:rPr>
          <w:rStyle w:val="Hyperlink"/>
          <w:rFonts w:ascii="Arial" w:hAnsi="Arial" w:cs="Arial"/>
          <w:b/>
          <w:color w:val="auto"/>
          <w:sz w:val="20"/>
          <w:u w:val="none"/>
        </w:rPr>
        <w:fldChar w:fldCharType="separate"/>
      </w:r>
      <w:r w:rsidR="00546108" w:rsidRPr="00546108">
        <w:rPr>
          <w:rFonts w:ascii="Arial" w:hAnsi="Arial" w:cs="Arial"/>
          <w:b/>
          <w:sz w:val="20"/>
        </w:rPr>
        <w:t>Observation 1</w:t>
      </w:r>
      <w:r w:rsidR="00546108" w:rsidRPr="00546108">
        <w:rPr>
          <w:rFonts w:ascii="Arial" w:eastAsiaTheme="minorEastAsia" w:hAnsi="Arial" w:cs="Arial"/>
          <w:b/>
          <w:sz w:val="20"/>
          <w:lang w:val="en-US" w:eastAsia="en-US"/>
        </w:rPr>
        <w:tab/>
      </w:r>
      <w:r w:rsidR="00546108" w:rsidRPr="00546108">
        <w:rPr>
          <w:rFonts w:ascii="Arial" w:hAnsi="Arial" w:cs="Arial"/>
          <w:b/>
          <w:sz w:val="20"/>
        </w:rPr>
        <w:t>NR Rel-15 supports beamformed SS/PBCH block transmissions and thus we see no reason to restrict this for NR-U.</w:t>
      </w:r>
    </w:p>
    <w:p w14:paraId="4F807702" w14:textId="77777777" w:rsidR="00546108" w:rsidRPr="00546108" w:rsidRDefault="00546108" w:rsidP="00546108">
      <w:pPr>
        <w:pStyle w:val="TOC1"/>
        <w:tabs>
          <w:tab w:val="left" w:pos="1701"/>
        </w:tabs>
        <w:ind w:left="1710" w:hanging="1710"/>
        <w:rPr>
          <w:rFonts w:ascii="Arial" w:eastAsiaTheme="minorEastAsia" w:hAnsi="Arial" w:cs="Arial"/>
          <w:b/>
          <w:sz w:val="20"/>
          <w:lang w:val="en-US" w:eastAsia="en-US"/>
        </w:rPr>
      </w:pPr>
      <w:r w:rsidRPr="00546108">
        <w:rPr>
          <w:rFonts w:ascii="Arial" w:hAnsi="Arial" w:cs="Arial"/>
          <w:b/>
          <w:sz w:val="20"/>
        </w:rPr>
        <w:t>Observation 2</w:t>
      </w:r>
      <w:r w:rsidRPr="00546108">
        <w:rPr>
          <w:rFonts w:ascii="Arial" w:eastAsiaTheme="minorEastAsia" w:hAnsi="Arial" w:cs="Arial"/>
          <w:b/>
          <w:sz w:val="20"/>
          <w:lang w:val="en-US" w:eastAsia="en-US"/>
        </w:rPr>
        <w:tab/>
      </w:r>
      <w:r w:rsidRPr="00546108">
        <w:rPr>
          <w:rFonts w:ascii="Arial" w:hAnsi="Arial" w:cs="Arial"/>
          <w:b/>
          <w:sz w:val="20"/>
        </w:rPr>
        <w:t>DCI format 1_0 used to schedule PDSCH carrying SIB1 supports only Type0 PDSCH resource allocation (contiguous RBs) in the frequency domain.</w:t>
      </w:r>
    </w:p>
    <w:p w14:paraId="0E62676A" w14:textId="77777777" w:rsidR="00546108" w:rsidRPr="00546108" w:rsidRDefault="00546108" w:rsidP="00546108">
      <w:pPr>
        <w:pStyle w:val="TOC1"/>
        <w:tabs>
          <w:tab w:val="left" w:pos="1701"/>
        </w:tabs>
        <w:ind w:left="1710" w:hanging="1710"/>
        <w:rPr>
          <w:rFonts w:ascii="Arial" w:eastAsiaTheme="minorEastAsia" w:hAnsi="Arial" w:cs="Arial"/>
          <w:b/>
          <w:sz w:val="20"/>
          <w:lang w:val="en-US" w:eastAsia="en-US"/>
        </w:rPr>
      </w:pPr>
      <w:r w:rsidRPr="00546108">
        <w:rPr>
          <w:rFonts w:ascii="Arial" w:hAnsi="Arial" w:cs="Arial"/>
          <w:b/>
          <w:sz w:val="20"/>
        </w:rPr>
        <w:t>Observation 3</w:t>
      </w:r>
      <w:r w:rsidRPr="00546108">
        <w:rPr>
          <w:rFonts w:ascii="Arial" w:eastAsiaTheme="minorEastAsia" w:hAnsi="Arial" w:cs="Arial"/>
          <w:b/>
          <w:sz w:val="20"/>
          <w:lang w:val="en-US" w:eastAsia="en-US"/>
        </w:rPr>
        <w:tab/>
      </w:r>
      <w:r w:rsidRPr="00546108">
        <w:rPr>
          <w:rFonts w:ascii="Arial" w:hAnsi="Arial" w:cs="Arial"/>
          <w:b/>
          <w:sz w:val="20"/>
        </w:rPr>
        <w:t>In a DRS containing RMSI with two SS/PBCH blocks per slot, configuration of two 2-symbol Type0-PDCCH CSS monitoring occasions requires introduction of either a new SS/PBCH block time domain pattern (Case C’) or a 2</w:t>
      </w:r>
      <w:r w:rsidRPr="00546108">
        <w:rPr>
          <w:rFonts w:ascii="Arial" w:hAnsi="Arial" w:cs="Arial"/>
          <w:b/>
          <w:sz w:val="20"/>
          <w:vertAlign w:val="superscript"/>
        </w:rPr>
        <w:t>nd</w:t>
      </w:r>
      <w:r w:rsidRPr="00546108">
        <w:rPr>
          <w:rFonts w:ascii="Arial" w:hAnsi="Arial" w:cs="Arial"/>
          <w:b/>
          <w:sz w:val="20"/>
        </w:rPr>
        <w:t xml:space="preserve"> Type0-PDCCH monitoring occasion that crosses the half slot boundary. Both options result in a relatively small SIB1 information bit payload, and it should be further discussed whether or not 2-symbol monitoring occasions are supported.</w:t>
      </w:r>
    </w:p>
    <w:p w14:paraId="7025FF42" w14:textId="77777777" w:rsidR="00546108" w:rsidRPr="00546108" w:rsidRDefault="00546108" w:rsidP="00546108">
      <w:pPr>
        <w:pStyle w:val="TOC1"/>
        <w:tabs>
          <w:tab w:val="left" w:pos="1701"/>
        </w:tabs>
        <w:ind w:left="1710" w:hanging="1710"/>
        <w:rPr>
          <w:rFonts w:ascii="Arial" w:eastAsiaTheme="minorEastAsia" w:hAnsi="Arial" w:cs="Arial"/>
          <w:b/>
          <w:sz w:val="20"/>
          <w:lang w:val="en-US" w:eastAsia="en-US"/>
        </w:rPr>
      </w:pPr>
      <w:r w:rsidRPr="00546108">
        <w:rPr>
          <w:rFonts w:ascii="Arial" w:hAnsi="Arial" w:cs="Arial"/>
          <w:b/>
          <w:sz w:val="20"/>
        </w:rPr>
        <w:t>Observation 4</w:t>
      </w:r>
      <w:r w:rsidRPr="00546108">
        <w:rPr>
          <w:rFonts w:ascii="Arial" w:eastAsiaTheme="minorEastAsia" w:hAnsi="Arial" w:cs="Arial"/>
          <w:b/>
          <w:sz w:val="20"/>
          <w:lang w:val="en-US" w:eastAsia="en-US"/>
        </w:rPr>
        <w:tab/>
      </w:r>
      <w:r w:rsidRPr="00546108">
        <w:rPr>
          <w:rFonts w:ascii="Arial" w:hAnsi="Arial" w:cs="Arial"/>
          <w:b/>
          <w:sz w:val="20"/>
        </w:rPr>
        <w:t>Only the short PRACH sequence length (L</w:t>
      </w:r>
      <w:r w:rsidRPr="00546108">
        <w:rPr>
          <w:rFonts w:ascii="Arial" w:hAnsi="Arial" w:cs="Arial"/>
          <w:b/>
          <w:sz w:val="20"/>
          <w:vertAlign w:val="subscript"/>
        </w:rPr>
        <w:t>RA</w:t>
      </w:r>
      <w:r w:rsidRPr="00546108">
        <w:rPr>
          <w:rFonts w:ascii="Arial" w:hAnsi="Arial" w:cs="Arial"/>
          <w:b/>
          <w:sz w:val="20"/>
        </w:rPr>
        <w:t xml:space="preserve"> = 139) is useful for NR-U.</w:t>
      </w:r>
    </w:p>
    <w:p w14:paraId="7CBE7831" w14:textId="77777777" w:rsidR="00546108" w:rsidRPr="00546108" w:rsidRDefault="00546108" w:rsidP="00546108">
      <w:pPr>
        <w:pStyle w:val="TOC1"/>
        <w:tabs>
          <w:tab w:val="left" w:pos="1701"/>
        </w:tabs>
        <w:ind w:left="1710" w:hanging="1710"/>
        <w:rPr>
          <w:rFonts w:ascii="Arial" w:eastAsiaTheme="minorEastAsia" w:hAnsi="Arial" w:cs="Arial"/>
          <w:b/>
          <w:sz w:val="20"/>
          <w:lang w:val="en-US" w:eastAsia="en-US"/>
        </w:rPr>
      </w:pPr>
      <w:r w:rsidRPr="00546108">
        <w:rPr>
          <w:rFonts w:ascii="Arial" w:hAnsi="Arial" w:cs="Arial"/>
          <w:b/>
          <w:sz w:val="20"/>
        </w:rPr>
        <w:t>Observation 5</w:t>
      </w:r>
      <w:r w:rsidRPr="00546108">
        <w:rPr>
          <w:rFonts w:ascii="Arial" w:eastAsiaTheme="minorEastAsia" w:hAnsi="Arial" w:cs="Arial"/>
          <w:b/>
          <w:sz w:val="20"/>
          <w:lang w:val="en-US" w:eastAsia="en-US"/>
        </w:rPr>
        <w:tab/>
      </w:r>
      <w:r w:rsidRPr="00546108">
        <w:rPr>
          <w:rFonts w:ascii="Arial" w:hAnsi="Arial" w:cs="Arial"/>
          <w:b/>
          <w:sz w:val="20"/>
        </w:rPr>
        <w:t>Only a subset of the short PRACH preamble formats, A1 – A3 and B1 – B4, are useful for NR-U.</w:t>
      </w:r>
    </w:p>
    <w:p w14:paraId="4257F13A" w14:textId="6628C2AE" w:rsidR="00543EE3" w:rsidRPr="00200B8D" w:rsidRDefault="00543EE3" w:rsidP="00546108">
      <w:pPr>
        <w:pStyle w:val="TableofFigures"/>
        <w:tabs>
          <w:tab w:val="right" w:leader="dot" w:pos="9629"/>
        </w:tabs>
        <w:ind w:left="1710" w:hanging="1710"/>
      </w:pPr>
      <w:r w:rsidRPr="00546108">
        <w:rPr>
          <w:rStyle w:val="Hyperlink"/>
          <w:rFonts w:cs="Arial"/>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3490913A" w14:textId="18B44C3F" w:rsidR="00A21C61" w:rsidRDefault="00543EE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1070636" w:history="1">
        <w:r w:rsidR="00A21C61" w:rsidRPr="0049346C">
          <w:rPr>
            <w:rStyle w:val="Hyperlink"/>
            <w:noProof/>
          </w:rPr>
          <w:t>Proposal 1</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Support soft combining of different SIB1 redundancy versions within the DRS.</w:t>
        </w:r>
      </w:hyperlink>
    </w:p>
    <w:p w14:paraId="29202541" w14:textId="74489D80"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37" w:history="1">
        <w:r w:rsidR="00A21C61" w:rsidRPr="0049346C">
          <w:rPr>
            <w:rStyle w:val="Hyperlink"/>
            <w:noProof/>
          </w:rPr>
          <w:t>Proposal 2</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The UE expects to be configured with CORESET0 bandwidth of 48 PRBs at least for the case for 20 MHz carriers in unlicensed bands.</w:t>
        </w:r>
      </w:hyperlink>
    </w:p>
    <w:p w14:paraId="5141F785" w14:textId="4950BDDC"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38" w:history="1">
        <w:r w:rsidR="00A21C61" w:rsidRPr="0049346C">
          <w:rPr>
            <w:rStyle w:val="Hyperlink"/>
            <w:noProof/>
          </w:rPr>
          <w:t>Proposal 3</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In a DRS containing RMSI, support a 0 RB offset between CORESET0 and the SS/PBCH block(s).</w:t>
        </w:r>
      </w:hyperlink>
    </w:p>
    <w:p w14:paraId="6AC1790A" w14:textId="787468FB"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39" w:history="1">
        <w:r w:rsidR="00A21C61" w:rsidRPr="0049346C">
          <w:rPr>
            <w:rStyle w:val="Hyperlink"/>
            <w:noProof/>
          </w:rPr>
          <w:t>Proposal 4</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In a DRS containing RMSI with two SS/PBCH blocks per slot, support two Type0-PDCCH CSS monitoring occasions starting in OFDM symbols 0 and 7 (assuming symbol indexing starts at zero).</w:t>
        </w:r>
      </w:hyperlink>
    </w:p>
    <w:p w14:paraId="1B4D58AA" w14:textId="1AA44807"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0" w:history="1">
        <w:r w:rsidR="00A21C61" w:rsidRPr="0049346C">
          <w:rPr>
            <w:rStyle w:val="Hyperlink"/>
            <w:noProof/>
          </w:rPr>
          <w:t>Proposal 5</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In a DRS containing RMSI with two SS/PBCH blocks per slot, support a default PDSCH TypeB mapping starting in OFDM symbol 7 with a length of 7 OFDM symbols (assuming symbol indexing starts at zero).</w:t>
        </w:r>
      </w:hyperlink>
    </w:p>
    <w:p w14:paraId="014F380B" w14:textId="6A204667"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1" w:history="1">
        <w:r w:rsidR="00A21C61" w:rsidRPr="0049346C">
          <w:rPr>
            <w:rStyle w:val="Hyperlink"/>
            <w:noProof/>
          </w:rPr>
          <w:t>Proposal 6</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Discuss the trade-off between required changes needed to Rel-15 specifications to allow PDSCH carrying SIB1 to be mapped “around” an SS/PBCH block and the need for additional resources for SIB1.</w:t>
        </w:r>
      </w:hyperlink>
    </w:p>
    <w:p w14:paraId="5725C002" w14:textId="0B6B6BCB"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2" w:history="1">
        <w:r w:rsidR="00A21C61" w:rsidRPr="0049346C">
          <w:rPr>
            <w:rStyle w:val="Hyperlink"/>
            <w:noProof/>
          </w:rPr>
          <w:t>Proposal 7</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If the UE is configured with SCS for SS/PBCH block(s) on an unlicensed serving cell (i.e., for non-standalone operation), the UE may assume the SS/PBCH block(s) are transmitted with the following time domain pattern:</w:t>
        </w:r>
      </w:hyperlink>
    </w:p>
    <w:p w14:paraId="5E43E78A" w14:textId="7CD7898B"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3" w:history="1">
        <w:r w:rsidR="00A21C61" w:rsidRPr="0049346C">
          <w:rPr>
            <w:rStyle w:val="Hyperlink"/>
            <w:noProof/>
          </w:rPr>
          <w:t>a.</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Case A if 15 kHz SCS configured as in NR Rel-15</w:t>
        </w:r>
      </w:hyperlink>
    </w:p>
    <w:p w14:paraId="6E168421" w14:textId="5A5FE1B8"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4" w:history="1">
        <w:r w:rsidR="00A21C61" w:rsidRPr="0049346C">
          <w:rPr>
            <w:rStyle w:val="Hyperlink"/>
            <w:noProof/>
          </w:rPr>
          <w:t>b.</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Same pattern as for DRS with RMSI if 30 kHz SCS is configured. FFS: Case C or modified Case C pattern.</w:t>
        </w:r>
      </w:hyperlink>
    </w:p>
    <w:p w14:paraId="70D7CE83" w14:textId="175CA393"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5" w:history="1">
        <w:r w:rsidR="00A21C61" w:rsidRPr="0049346C">
          <w:rPr>
            <w:rStyle w:val="Hyperlink"/>
            <w:noProof/>
          </w:rPr>
          <w:t>Proposal 8</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As in NR Rel-15, 60 kHz SCS for PRACH is not supported in FR1.</w:t>
        </w:r>
      </w:hyperlink>
    </w:p>
    <w:p w14:paraId="221A606B" w14:textId="7A2177E3" w:rsidR="00A21C61" w:rsidRDefault="003657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70646" w:history="1">
        <w:r w:rsidR="00A21C61" w:rsidRPr="0049346C">
          <w:rPr>
            <w:rStyle w:val="Hyperlink"/>
            <w:noProof/>
          </w:rPr>
          <w:t>Proposal 9</w:t>
        </w:r>
        <w:r w:rsidR="00A21C61">
          <w:rPr>
            <w:rFonts w:asciiTheme="minorHAnsi" w:eastAsiaTheme="minorEastAsia" w:hAnsiTheme="minorHAnsi" w:cstheme="minorBidi"/>
            <w:b w:val="0"/>
            <w:noProof/>
            <w:sz w:val="22"/>
            <w:szCs w:val="22"/>
            <w:lang w:val="sv-SE" w:eastAsia="sv-SE"/>
          </w:rPr>
          <w:tab/>
        </w:r>
        <w:r w:rsidR="00A21C61" w:rsidRPr="0049346C">
          <w:rPr>
            <w:rStyle w:val="Hyperlink"/>
            <w:noProof/>
          </w:rPr>
          <w:t>Down-select amongst the following two enhanced PRACH schemes identified in the TR 38.889 for the NR-U SI: (1) non-uniform (irregular) PRB-based interlace mapping using the same interlace structure as for PUSCH/PUCCH (Alt-2 in the TR), and (2) non-interlaced mapping with repetition of the NR Rel-15 PRACH mapping in the frequency domain (Alt-4 in the TR).</w:t>
        </w:r>
      </w:hyperlink>
    </w:p>
    <w:p w14:paraId="4A86081C" w14:textId="2C72360E"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86" w:name="_In-sequence_SDU_delivery"/>
      <w:bookmarkStart w:id="87" w:name="_Toc533002900"/>
      <w:bookmarkEnd w:id="86"/>
      <w:r>
        <w:t>5</w:t>
      </w:r>
      <w:r>
        <w:tab/>
      </w:r>
      <w:r w:rsidRPr="00CE0424">
        <w:t>References</w:t>
      </w:r>
      <w:bookmarkEnd w:id="87"/>
    </w:p>
    <w:p w14:paraId="697B0E1E" w14:textId="77777777" w:rsidR="00543EE3" w:rsidRPr="000B4707" w:rsidRDefault="00543EE3" w:rsidP="00543EE3">
      <w:pPr>
        <w:pStyle w:val="Reference"/>
        <w:overflowPunct/>
        <w:autoSpaceDE/>
        <w:autoSpaceDN/>
        <w:adjustRightInd/>
        <w:spacing w:line="259" w:lineRule="auto"/>
        <w:textAlignment w:val="auto"/>
      </w:pPr>
      <w:bookmarkStart w:id="88" w:name="_Ref534117348"/>
      <w:bookmarkStart w:id="89" w:name="_Ref513463230"/>
      <w:bookmarkStart w:id="90" w:name="_Ref513478501"/>
      <w:bookmarkStart w:id="91" w:name="_Ref521528405"/>
      <w:bookmarkStart w:id="92" w:name="_Ref174151459"/>
      <w:bookmarkStart w:id="93" w:name="_Ref189809556"/>
      <w:r w:rsidRPr="000B4707">
        <w:t>3GPP TR 38.889, “Study on NR-based access to unlicensed spectrum,” v16.0.0, December 2018.</w:t>
      </w:r>
      <w:bookmarkEnd w:id="88"/>
    </w:p>
    <w:p w14:paraId="30D98FB5" w14:textId="5CE59FA1" w:rsidR="00543EE3" w:rsidRPr="000B4707" w:rsidRDefault="00543EE3" w:rsidP="00543EE3">
      <w:pPr>
        <w:pStyle w:val="Reference"/>
        <w:overflowPunct/>
        <w:autoSpaceDE/>
        <w:autoSpaceDN/>
        <w:adjustRightInd/>
        <w:spacing w:line="259" w:lineRule="auto"/>
        <w:textAlignment w:val="auto"/>
      </w:pPr>
      <w:bookmarkStart w:id="94" w:name="_Ref534119289"/>
      <w:r w:rsidRPr="0034106B">
        <w:t>R1-19</w:t>
      </w:r>
      <w:r w:rsidR="0034106B" w:rsidRPr="0034106B">
        <w:t>02884</w:t>
      </w:r>
      <w:r w:rsidRPr="000B4707">
        <w:t>, “Enhancements to initial access procedures,” Ericsson, RAN1</w:t>
      </w:r>
      <w:r w:rsidR="000B4707">
        <w:t>#96</w:t>
      </w:r>
      <w:r w:rsidRPr="000B4707">
        <w:t xml:space="preserve">, </w:t>
      </w:r>
      <w:r w:rsidR="000B4707">
        <w:t>February</w:t>
      </w:r>
      <w:r w:rsidRPr="000B4707">
        <w:t xml:space="preserve"> 2019.</w:t>
      </w:r>
      <w:bookmarkEnd w:id="94"/>
    </w:p>
    <w:p w14:paraId="256AE16E" w14:textId="7B367A91" w:rsidR="00543EE3" w:rsidRPr="000B4707" w:rsidRDefault="00543EE3" w:rsidP="00543EE3">
      <w:pPr>
        <w:pStyle w:val="Reference"/>
        <w:overflowPunct/>
        <w:autoSpaceDE/>
        <w:autoSpaceDN/>
        <w:adjustRightInd/>
        <w:spacing w:line="259" w:lineRule="auto"/>
        <w:textAlignment w:val="auto"/>
      </w:pPr>
      <w:bookmarkStart w:id="95" w:name="_Ref518639925"/>
      <w:bookmarkEnd w:id="89"/>
      <w:bookmarkEnd w:id="90"/>
      <w:bookmarkEnd w:id="91"/>
      <w:r w:rsidRPr="000B4707">
        <w:t>3GPP TS 38.211, “Physical channels and modulation” v15.</w:t>
      </w:r>
      <w:r w:rsidR="000B4707">
        <w:t>4</w:t>
      </w:r>
      <w:r w:rsidRPr="000B4707">
        <w:t xml:space="preserve">.0, </w:t>
      </w:r>
      <w:r w:rsidR="000B4707">
        <w:t>December</w:t>
      </w:r>
      <w:r w:rsidRPr="000B4707">
        <w:t xml:space="preserve"> 2018</w:t>
      </w:r>
      <w:bookmarkEnd w:id="95"/>
    </w:p>
    <w:p w14:paraId="1057082A" w14:textId="245AA007" w:rsidR="00543EE3" w:rsidRPr="000B4707" w:rsidRDefault="00543EE3" w:rsidP="00543EE3">
      <w:pPr>
        <w:pStyle w:val="Reference"/>
        <w:overflowPunct/>
        <w:autoSpaceDE/>
        <w:autoSpaceDN/>
        <w:adjustRightInd/>
        <w:spacing w:line="259" w:lineRule="auto"/>
        <w:textAlignment w:val="auto"/>
      </w:pPr>
      <w:bookmarkStart w:id="96" w:name="_Ref518656567"/>
      <w:bookmarkStart w:id="97" w:name="_Ref519848688"/>
      <w:r w:rsidRPr="000B4707">
        <w:lastRenderedPageBreak/>
        <w:t>3GPP TS 38.331, “Radio Resource Control (RRC) protocol specification” v</w:t>
      </w:r>
      <w:bookmarkEnd w:id="96"/>
      <w:r w:rsidRPr="000B4707">
        <w:t>15.</w:t>
      </w:r>
      <w:r w:rsidR="000B4707">
        <w:t>4</w:t>
      </w:r>
      <w:r w:rsidRPr="000B4707">
        <w:t>.</w:t>
      </w:r>
      <w:r w:rsidR="000B4707">
        <w:t>0</w:t>
      </w:r>
      <w:r w:rsidRPr="000B4707">
        <w:t xml:space="preserve">, </w:t>
      </w:r>
      <w:r w:rsidR="000B4707">
        <w:t>December</w:t>
      </w:r>
      <w:r w:rsidRPr="000B4707">
        <w:t xml:space="preserve"> 2018</w:t>
      </w:r>
      <w:bookmarkEnd w:id="97"/>
      <w:r w:rsidRPr="000B4707">
        <w:t>.</w:t>
      </w:r>
    </w:p>
    <w:p w14:paraId="75E0E681" w14:textId="23E2C98D" w:rsidR="00543EE3" w:rsidRDefault="00543EE3" w:rsidP="00543EE3">
      <w:pPr>
        <w:pStyle w:val="Reference"/>
        <w:overflowPunct/>
        <w:autoSpaceDE/>
        <w:autoSpaceDN/>
        <w:adjustRightInd/>
        <w:spacing w:line="259" w:lineRule="auto"/>
        <w:textAlignment w:val="auto"/>
      </w:pPr>
      <w:bookmarkStart w:id="98" w:name="_Ref534881501"/>
      <w:bookmarkStart w:id="99" w:name="_Ref534892220"/>
      <w:r w:rsidRPr="000B4707">
        <w:t>3GPP TS 38.213, “Physical layer procedures for control” v15.</w:t>
      </w:r>
      <w:r w:rsidR="000B4707">
        <w:t>4</w:t>
      </w:r>
      <w:r w:rsidRPr="000B4707">
        <w:t xml:space="preserve">.0, </w:t>
      </w:r>
      <w:r w:rsidR="000B4707">
        <w:t>December</w:t>
      </w:r>
      <w:r w:rsidRPr="000B4707">
        <w:t xml:space="preserve"> 2018</w:t>
      </w:r>
      <w:bookmarkEnd w:id="98"/>
      <w:r w:rsidRPr="000B4707">
        <w:t>.</w:t>
      </w:r>
      <w:bookmarkEnd w:id="99"/>
    </w:p>
    <w:p w14:paraId="4E5AE89C" w14:textId="76DF39A0" w:rsidR="000B4707" w:rsidRPr="000B4707" w:rsidRDefault="000B4707" w:rsidP="00543EE3">
      <w:pPr>
        <w:pStyle w:val="Reference"/>
        <w:overflowPunct/>
        <w:autoSpaceDE/>
        <w:autoSpaceDN/>
        <w:adjustRightInd/>
        <w:spacing w:line="259" w:lineRule="auto"/>
        <w:textAlignment w:val="auto"/>
      </w:pPr>
      <w:bookmarkStart w:id="100" w:name="_Ref974170"/>
      <w:r w:rsidRPr="000B4707">
        <w:t>3GPP TS 38.21</w:t>
      </w:r>
      <w:r>
        <w:t>4</w:t>
      </w:r>
      <w:r w:rsidRPr="000B4707">
        <w:t xml:space="preserve">, “Physical layer procedures for </w:t>
      </w:r>
      <w:r>
        <w:t>data</w:t>
      </w:r>
      <w:r w:rsidRPr="000B4707">
        <w:t>” v15.</w:t>
      </w:r>
      <w:r>
        <w:t>4</w:t>
      </w:r>
      <w:r w:rsidRPr="000B4707">
        <w:t xml:space="preserve">.0, </w:t>
      </w:r>
      <w:r>
        <w:t>December</w:t>
      </w:r>
      <w:r w:rsidRPr="000B4707">
        <w:t xml:space="preserve"> 2018</w:t>
      </w:r>
      <w:r>
        <w:t>.</w:t>
      </w:r>
      <w:bookmarkEnd w:id="100"/>
    </w:p>
    <w:p w14:paraId="753344E2" w14:textId="77777777" w:rsidR="00543EE3" w:rsidRPr="000B4707" w:rsidRDefault="00543EE3" w:rsidP="00543EE3">
      <w:pPr>
        <w:pStyle w:val="Reference"/>
        <w:overflowPunct/>
        <w:autoSpaceDE/>
        <w:autoSpaceDN/>
        <w:adjustRightInd/>
        <w:spacing w:line="259" w:lineRule="auto"/>
        <w:textAlignment w:val="auto"/>
      </w:pPr>
      <w:bookmarkStart w:id="101" w:name="_Ref534127550"/>
      <w:bookmarkStart w:id="102" w:name="_Ref520111076"/>
      <w:r w:rsidRPr="000B4707">
        <w:t>RP-182878, “New WID on NR-based Access to Unlicensed Spectrum,” Qualcomm, RAN#82, December 2018.</w:t>
      </w:r>
      <w:bookmarkEnd w:id="101"/>
    </w:p>
    <w:p w14:paraId="4AE68C89" w14:textId="4E56B715" w:rsidR="00543EE3" w:rsidRPr="007A43BC" w:rsidRDefault="00543EE3" w:rsidP="00543EE3">
      <w:pPr>
        <w:pStyle w:val="Reference"/>
        <w:overflowPunct/>
        <w:autoSpaceDE/>
        <w:autoSpaceDN/>
        <w:adjustRightInd/>
        <w:spacing w:line="259" w:lineRule="auto"/>
        <w:textAlignment w:val="auto"/>
      </w:pPr>
      <w:bookmarkStart w:id="103" w:name="_Ref534894017"/>
      <w:r w:rsidRPr="000B4707">
        <w:t xml:space="preserve">R1-1813455, “Frame structure for NR-U,” </w:t>
      </w:r>
      <w:r w:rsidRPr="000B4707">
        <w:rPr>
          <w:rFonts w:cs="Arial"/>
        </w:rPr>
        <w:t>Ericsson, RAN1#95, November 2018.</w:t>
      </w:r>
      <w:bookmarkEnd w:id="92"/>
      <w:bookmarkEnd w:id="93"/>
      <w:bookmarkEnd w:id="102"/>
      <w:bookmarkEnd w:id="103"/>
    </w:p>
    <w:p w14:paraId="6FBA86AE" w14:textId="534C75A6" w:rsidR="007A43BC" w:rsidRPr="000B4707" w:rsidRDefault="007A43BC" w:rsidP="00543EE3">
      <w:pPr>
        <w:pStyle w:val="Reference"/>
        <w:overflowPunct/>
        <w:autoSpaceDE/>
        <w:autoSpaceDN/>
        <w:adjustRightInd/>
        <w:spacing w:line="259" w:lineRule="auto"/>
        <w:textAlignment w:val="auto"/>
      </w:pPr>
      <w:bookmarkStart w:id="104" w:name="_Ref975202"/>
      <w:r w:rsidRPr="0034106B">
        <w:t>R1-19</w:t>
      </w:r>
      <w:r w:rsidR="0034106B" w:rsidRPr="0034106B">
        <w:t>02888</w:t>
      </w:r>
      <w:r>
        <w:t>, “</w:t>
      </w:r>
      <w:r w:rsidRPr="007A43BC">
        <w:t>Evaluation results for enhanced PRACH design</w:t>
      </w:r>
      <w:r>
        <w:t>,” Ericsson, RAN1#96, February 2019.</w:t>
      </w:r>
      <w:bookmarkEnd w:id="104"/>
    </w:p>
    <w:sectPr w:rsidR="007A43BC" w:rsidRPr="000B4707"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DFDE0" w14:textId="77777777" w:rsidR="006B0C67" w:rsidRDefault="006B0C67">
      <w:r>
        <w:separator/>
      </w:r>
    </w:p>
  </w:endnote>
  <w:endnote w:type="continuationSeparator" w:id="0">
    <w:p w14:paraId="66FE959B" w14:textId="77777777" w:rsidR="006B0C67" w:rsidRDefault="006B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B4707" w:rsidRDefault="000B47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1C6BE" w14:textId="77777777" w:rsidR="006B0C67" w:rsidRDefault="006B0C67">
      <w:r>
        <w:separator/>
      </w:r>
    </w:p>
  </w:footnote>
  <w:footnote w:type="continuationSeparator" w:id="0">
    <w:p w14:paraId="51D04592" w14:textId="77777777" w:rsidR="006B0C67" w:rsidRDefault="006B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B4707" w:rsidRDefault="000B47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BE6B7C"/>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D9A0AF6"/>
    <w:multiLevelType w:val="hybridMultilevel"/>
    <w:tmpl w:val="78F021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C3A7D"/>
    <w:multiLevelType w:val="hybridMultilevel"/>
    <w:tmpl w:val="1CA2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E06A5F"/>
    <w:multiLevelType w:val="hybridMultilevel"/>
    <w:tmpl w:val="16B200E6"/>
    <w:lvl w:ilvl="0" w:tplc="80F82D08">
      <w:start w:val="1"/>
      <w:numFmt w:val="decimal"/>
      <w:lvlText w:val="(%1)"/>
      <w:lvlJc w:val="left"/>
      <w:pPr>
        <w:ind w:left="2052" w:hanging="360"/>
      </w:pPr>
      <w:rPr>
        <w:rFonts w:hint="default"/>
      </w:r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7D7B49"/>
    <w:multiLevelType w:val="hybridMultilevel"/>
    <w:tmpl w:val="03B0F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
  </w:num>
  <w:num w:numId="4">
    <w:abstractNumId w:val="15"/>
  </w:num>
  <w:num w:numId="5">
    <w:abstractNumId w:val="16"/>
  </w:num>
  <w:num w:numId="6">
    <w:abstractNumId w:val="17"/>
  </w:num>
  <w:num w:numId="7">
    <w:abstractNumId w:val="5"/>
  </w:num>
  <w:num w:numId="8">
    <w:abstractNumId w:val="7"/>
  </w:num>
  <w:num w:numId="9">
    <w:abstractNumId w:val="3"/>
  </w:num>
  <w:num w:numId="10">
    <w:abstractNumId w:val="20"/>
  </w:num>
  <w:num w:numId="11">
    <w:abstractNumId w:val="9"/>
  </w:num>
  <w:num w:numId="12">
    <w:abstractNumId w:val="18"/>
  </w:num>
  <w:num w:numId="13">
    <w:abstractNumId w:val="8"/>
  </w:num>
  <w:num w:numId="14">
    <w:abstractNumId w:val="11"/>
  </w:num>
  <w:num w:numId="15">
    <w:abstractNumId w:val="6"/>
  </w:num>
  <w:num w:numId="16">
    <w:abstractNumId w:val="14"/>
  </w:num>
  <w:num w:numId="17">
    <w:abstractNumId w:val="4"/>
  </w:num>
  <w:num w:numId="18">
    <w:abstractNumId w:val="19"/>
  </w:num>
  <w:num w:numId="19">
    <w:abstractNumId w:val="21"/>
  </w:num>
  <w:num w:numId="20">
    <w:abstractNumId w:val="12"/>
  </w:num>
  <w:num w:numId="21">
    <w:abstractNumId w:val="2"/>
  </w:num>
  <w:num w:numId="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07E"/>
    <w:rsid w:val="00001F68"/>
    <w:rsid w:val="00002A37"/>
    <w:rsid w:val="00003880"/>
    <w:rsid w:val="0000564C"/>
    <w:rsid w:val="00006446"/>
    <w:rsid w:val="00006896"/>
    <w:rsid w:val="00007CDC"/>
    <w:rsid w:val="00011B28"/>
    <w:rsid w:val="000122F3"/>
    <w:rsid w:val="000128BB"/>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5A75"/>
    <w:rsid w:val="0005606A"/>
    <w:rsid w:val="00057117"/>
    <w:rsid w:val="00060711"/>
    <w:rsid w:val="000616E7"/>
    <w:rsid w:val="0006487E"/>
    <w:rsid w:val="00065E1A"/>
    <w:rsid w:val="000732E8"/>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3A2C"/>
    <w:rsid w:val="0009510F"/>
    <w:rsid w:val="000972E1"/>
    <w:rsid w:val="000A0DB7"/>
    <w:rsid w:val="000A1B7B"/>
    <w:rsid w:val="000A56F2"/>
    <w:rsid w:val="000A5AFB"/>
    <w:rsid w:val="000A6ECB"/>
    <w:rsid w:val="000B2719"/>
    <w:rsid w:val="000B3A8F"/>
    <w:rsid w:val="000B4707"/>
    <w:rsid w:val="000B4AB9"/>
    <w:rsid w:val="000B58C3"/>
    <w:rsid w:val="000B61E9"/>
    <w:rsid w:val="000B6D21"/>
    <w:rsid w:val="000C165A"/>
    <w:rsid w:val="000C2E19"/>
    <w:rsid w:val="000C65A3"/>
    <w:rsid w:val="000D0D07"/>
    <w:rsid w:val="000D45B5"/>
    <w:rsid w:val="000D4797"/>
    <w:rsid w:val="000E0527"/>
    <w:rsid w:val="000E1E92"/>
    <w:rsid w:val="000E5A29"/>
    <w:rsid w:val="000F06D6"/>
    <w:rsid w:val="000F0EB1"/>
    <w:rsid w:val="000F1106"/>
    <w:rsid w:val="000F3BE9"/>
    <w:rsid w:val="000F3F6C"/>
    <w:rsid w:val="000F4123"/>
    <w:rsid w:val="000F4CC2"/>
    <w:rsid w:val="000F5327"/>
    <w:rsid w:val="000F6DF3"/>
    <w:rsid w:val="001005FF"/>
    <w:rsid w:val="001062FB"/>
    <w:rsid w:val="001063E6"/>
    <w:rsid w:val="00110211"/>
    <w:rsid w:val="001131ED"/>
    <w:rsid w:val="00113CF4"/>
    <w:rsid w:val="001153EA"/>
    <w:rsid w:val="00115643"/>
    <w:rsid w:val="00116765"/>
    <w:rsid w:val="00120E65"/>
    <w:rsid w:val="001219F5"/>
    <w:rsid w:val="00121A20"/>
    <w:rsid w:val="0012377F"/>
    <w:rsid w:val="00123F80"/>
    <w:rsid w:val="00124314"/>
    <w:rsid w:val="00126B4A"/>
    <w:rsid w:val="001327D7"/>
    <w:rsid w:val="00132FD0"/>
    <w:rsid w:val="001333A8"/>
    <w:rsid w:val="001344C0"/>
    <w:rsid w:val="001346FA"/>
    <w:rsid w:val="00135252"/>
    <w:rsid w:val="00137A25"/>
    <w:rsid w:val="00137AB5"/>
    <w:rsid w:val="00137F0B"/>
    <w:rsid w:val="00141CF0"/>
    <w:rsid w:val="00147603"/>
    <w:rsid w:val="00150BCC"/>
    <w:rsid w:val="00151E23"/>
    <w:rsid w:val="001526E0"/>
    <w:rsid w:val="001532CF"/>
    <w:rsid w:val="001551B5"/>
    <w:rsid w:val="0015772D"/>
    <w:rsid w:val="001652E4"/>
    <w:rsid w:val="001659C1"/>
    <w:rsid w:val="00166620"/>
    <w:rsid w:val="001714B7"/>
    <w:rsid w:val="0017260F"/>
    <w:rsid w:val="00173A8E"/>
    <w:rsid w:val="0017502C"/>
    <w:rsid w:val="001759B1"/>
    <w:rsid w:val="0018143F"/>
    <w:rsid w:val="00181FF8"/>
    <w:rsid w:val="00182504"/>
    <w:rsid w:val="00184B97"/>
    <w:rsid w:val="00185068"/>
    <w:rsid w:val="00187357"/>
    <w:rsid w:val="00190AC1"/>
    <w:rsid w:val="00190C4A"/>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C6278"/>
    <w:rsid w:val="001D51BA"/>
    <w:rsid w:val="001D53E7"/>
    <w:rsid w:val="001D6342"/>
    <w:rsid w:val="001D6C5F"/>
    <w:rsid w:val="001D6D53"/>
    <w:rsid w:val="001E19A3"/>
    <w:rsid w:val="001E439D"/>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6EA"/>
    <w:rsid w:val="00287838"/>
    <w:rsid w:val="002907B5"/>
    <w:rsid w:val="00292EB7"/>
    <w:rsid w:val="00294B5D"/>
    <w:rsid w:val="00296227"/>
    <w:rsid w:val="00296F44"/>
    <w:rsid w:val="0029777D"/>
    <w:rsid w:val="002A055E"/>
    <w:rsid w:val="002A1D4E"/>
    <w:rsid w:val="002A2869"/>
    <w:rsid w:val="002A774E"/>
    <w:rsid w:val="002B24D6"/>
    <w:rsid w:val="002C3A90"/>
    <w:rsid w:val="002C41E6"/>
    <w:rsid w:val="002C4955"/>
    <w:rsid w:val="002C6F96"/>
    <w:rsid w:val="002D071A"/>
    <w:rsid w:val="002D34B2"/>
    <w:rsid w:val="002D48B0"/>
    <w:rsid w:val="002D5B37"/>
    <w:rsid w:val="002D7637"/>
    <w:rsid w:val="002E17F2"/>
    <w:rsid w:val="002E3206"/>
    <w:rsid w:val="002E65DF"/>
    <w:rsid w:val="002E7CAE"/>
    <w:rsid w:val="002F2771"/>
    <w:rsid w:val="002F37A9"/>
    <w:rsid w:val="002F6CD0"/>
    <w:rsid w:val="002F788A"/>
    <w:rsid w:val="002F7C2E"/>
    <w:rsid w:val="00301CE6"/>
    <w:rsid w:val="0030256B"/>
    <w:rsid w:val="00302F71"/>
    <w:rsid w:val="0030501F"/>
    <w:rsid w:val="00307772"/>
    <w:rsid w:val="00307BA1"/>
    <w:rsid w:val="00310B1A"/>
    <w:rsid w:val="00311702"/>
    <w:rsid w:val="00311E82"/>
    <w:rsid w:val="003131A5"/>
    <w:rsid w:val="00313FD6"/>
    <w:rsid w:val="003143BD"/>
    <w:rsid w:val="00315363"/>
    <w:rsid w:val="003203ED"/>
    <w:rsid w:val="0032205A"/>
    <w:rsid w:val="00322485"/>
    <w:rsid w:val="00322C9F"/>
    <w:rsid w:val="00324D23"/>
    <w:rsid w:val="00331751"/>
    <w:rsid w:val="0033266C"/>
    <w:rsid w:val="003344B8"/>
    <w:rsid w:val="00334579"/>
    <w:rsid w:val="00335858"/>
    <w:rsid w:val="00336BDA"/>
    <w:rsid w:val="0034106B"/>
    <w:rsid w:val="00341187"/>
    <w:rsid w:val="00341B12"/>
    <w:rsid w:val="00342BD7"/>
    <w:rsid w:val="00344ACD"/>
    <w:rsid w:val="00346DB5"/>
    <w:rsid w:val="003477B1"/>
    <w:rsid w:val="003544B2"/>
    <w:rsid w:val="00354B73"/>
    <w:rsid w:val="00356037"/>
    <w:rsid w:val="00357380"/>
    <w:rsid w:val="003602D9"/>
    <w:rsid w:val="003604CE"/>
    <w:rsid w:val="003612EE"/>
    <w:rsid w:val="00361438"/>
    <w:rsid w:val="00364ECE"/>
    <w:rsid w:val="00365722"/>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4906"/>
    <w:rsid w:val="003D4AEC"/>
    <w:rsid w:val="003D566A"/>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5BC9"/>
    <w:rsid w:val="00437447"/>
    <w:rsid w:val="00441A92"/>
    <w:rsid w:val="004431DC"/>
    <w:rsid w:val="00444032"/>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92BC5"/>
    <w:rsid w:val="00496378"/>
    <w:rsid w:val="004964F1"/>
    <w:rsid w:val="00497506"/>
    <w:rsid w:val="004A16BC"/>
    <w:rsid w:val="004A2B94"/>
    <w:rsid w:val="004A37D3"/>
    <w:rsid w:val="004B5755"/>
    <w:rsid w:val="004B6F6A"/>
    <w:rsid w:val="004B7C0C"/>
    <w:rsid w:val="004C1684"/>
    <w:rsid w:val="004C3763"/>
    <w:rsid w:val="004C3898"/>
    <w:rsid w:val="004C4ABD"/>
    <w:rsid w:val="004C4AD7"/>
    <w:rsid w:val="004D36B1"/>
    <w:rsid w:val="004D7513"/>
    <w:rsid w:val="004D7EBD"/>
    <w:rsid w:val="004E2680"/>
    <w:rsid w:val="004E28F9"/>
    <w:rsid w:val="004E462E"/>
    <w:rsid w:val="004E56DC"/>
    <w:rsid w:val="004E76F4"/>
    <w:rsid w:val="004F0B4E"/>
    <w:rsid w:val="004F0B6C"/>
    <w:rsid w:val="004F2078"/>
    <w:rsid w:val="004F4DA3"/>
    <w:rsid w:val="00500DB0"/>
    <w:rsid w:val="00502AF4"/>
    <w:rsid w:val="00506557"/>
    <w:rsid w:val="0050677A"/>
    <w:rsid w:val="005108D8"/>
    <w:rsid w:val="005108E0"/>
    <w:rsid w:val="005116F9"/>
    <w:rsid w:val="00512C56"/>
    <w:rsid w:val="005153A7"/>
    <w:rsid w:val="005219CF"/>
    <w:rsid w:val="00524034"/>
    <w:rsid w:val="0052547E"/>
    <w:rsid w:val="00526622"/>
    <w:rsid w:val="0053498A"/>
    <w:rsid w:val="00534B59"/>
    <w:rsid w:val="00536759"/>
    <w:rsid w:val="00537C62"/>
    <w:rsid w:val="00543EE3"/>
    <w:rsid w:val="00546108"/>
    <w:rsid w:val="00546970"/>
    <w:rsid w:val="00554885"/>
    <w:rsid w:val="00554E19"/>
    <w:rsid w:val="00557070"/>
    <w:rsid w:val="00557B39"/>
    <w:rsid w:val="0056121F"/>
    <w:rsid w:val="00561A5B"/>
    <w:rsid w:val="00563F6E"/>
    <w:rsid w:val="0056585E"/>
    <w:rsid w:val="00572505"/>
    <w:rsid w:val="00580731"/>
    <w:rsid w:val="00582809"/>
    <w:rsid w:val="0058798C"/>
    <w:rsid w:val="005900FA"/>
    <w:rsid w:val="005935A4"/>
    <w:rsid w:val="005948C2"/>
    <w:rsid w:val="00595DCA"/>
    <w:rsid w:val="0059694B"/>
    <w:rsid w:val="0059779B"/>
    <w:rsid w:val="005A209A"/>
    <w:rsid w:val="005A662D"/>
    <w:rsid w:val="005A67D0"/>
    <w:rsid w:val="005A7B03"/>
    <w:rsid w:val="005B1409"/>
    <w:rsid w:val="005B35D7"/>
    <w:rsid w:val="005B392A"/>
    <w:rsid w:val="005B3AA3"/>
    <w:rsid w:val="005B4AC6"/>
    <w:rsid w:val="005B6351"/>
    <w:rsid w:val="005B6F83"/>
    <w:rsid w:val="005C39F8"/>
    <w:rsid w:val="005C74FB"/>
    <w:rsid w:val="005D1602"/>
    <w:rsid w:val="005E2183"/>
    <w:rsid w:val="005E385F"/>
    <w:rsid w:val="005E5B81"/>
    <w:rsid w:val="005F2CB1"/>
    <w:rsid w:val="005F3025"/>
    <w:rsid w:val="005F4BA4"/>
    <w:rsid w:val="005F4C19"/>
    <w:rsid w:val="005F618C"/>
    <w:rsid w:val="005F70BD"/>
    <w:rsid w:val="0060283C"/>
    <w:rsid w:val="00603A16"/>
    <w:rsid w:val="00604F02"/>
    <w:rsid w:val="00604F14"/>
    <w:rsid w:val="00611B83"/>
    <w:rsid w:val="00613257"/>
    <w:rsid w:val="00616DBF"/>
    <w:rsid w:val="00617376"/>
    <w:rsid w:val="00620A71"/>
    <w:rsid w:val="00620D80"/>
    <w:rsid w:val="00622D1C"/>
    <w:rsid w:val="006234A6"/>
    <w:rsid w:val="0062409D"/>
    <w:rsid w:val="00624DC9"/>
    <w:rsid w:val="00630001"/>
    <w:rsid w:val="006311B3"/>
    <w:rsid w:val="0063284C"/>
    <w:rsid w:val="00632E30"/>
    <w:rsid w:val="00636398"/>
    <w:rsid w:val="006368D3"/>
    <w:rsid w:val="006377EC"/>
    <w:rsid w:val="00640B56"/>
    <w:rsid w:val="0064151F"/>
    <w:rsid w:val="00641533"/>
    <w:rsid w:val="0064208D"/>
    <w:rsid w:val="00642536"/>
    <w:rsid w:val="00643475"/>
    <w:rsid w:val="0064396A"/>
    <w:rsid w:val="00644207"/>
    <w:rsid w:val="0064624E"/>
    <w:rsid w:val="00650AB9"/>
    <w:rsid w:val="00651981"/>
    <w:rsid w:val="00652C19"/>
    <w:rsid w:val="00655733"/>
    <w:rsid w:val="00655ACD"/>
    <w:rsid w:val="00656A92"/>
    <w:rsid w:val="00656DDE"/>
    <w:rsid w:val="0066011D"/>
    <w:rsid w:val="006607C0"/>
    <w:rsid w:val="006613A6"/>
    <w:rsid w:val="006626DE"/>
    <w:rsid w:val="006627A2"/>
    <w:rsid w:val="00663322"/>
    <w:rsid w:val="006634E6"/>
    <w:rsid w:val="006655EE"/>
    <w:rsid w:val="00667EE7"/>
    <w:rsid w:val="00670730"/>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0FD0"/>
    <w:rsid w:val="006A18DF"/>
    <w:rsid w:val="006A461C"/>
    <w:rsid w:val="006A46FB"/>
    <w:rsid w:val="006A53DD"/>
    <w:rsid w:val="006A5E28"/>
    <w:rsid w:val="006A697B"/>
    <w:rsid w:val="006A7AFF"/>
    <w:rsid w:val="006B0C67"/>
    <w:rsid w:val="006B1816"/>
    <w:rsid w:val="006B2099"/>
    <w:rsid w:val="006B50CF"/>
    <w:rsid w:val="006B5BA4"/>
    <w:rsid w:val="006C03B8"/>
    <w:rsid w:val="006C5EC9"/>
    <w:rsid w:val="006C6059"/>
    <w:rsid w:val="006C7522"/>
    <w:rsid w:val="006D29F7"/>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114A"/>
    <w:rsid w:val="0070346E"/>
    <w:rsid w:val="007035A4"/>
    <w:rsid w:val="00703E9D"/>
    <w:rsid w:val="00704EDB"/>
    <w:rsid w:val="00706101"/>
    <w:rsid w:val="00707072"/>
    <w:rsid w:val="00707D61"/>
    <w:rsid w:val="00712287"/>
    <w:rsid w:val="00712772"/>
    <w:rsid w:val="007133CF"/>
    <w:rsid w:val="007145F3"/>
    <w:rsid w:val="007148D3"/>
    <w:rsid w:val="00715B9A"/>
    <w:rsid w:val="00723BAE"/>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4EE8"/>
    <w:rsid w:val="00755494"/>
    <w:rsid w:val="00755DEB"/>
    <w:rsid w:val="00756352"/>
    <w:rsid w:val="00756517"/>
    <w:rsid w:val="007571E1"/>
    <w:rsid w:val="007604B2"/>
    <w:rsid w:val="00765281"/>
    <w:rsid w:val="00766BAD"/>
    <w:rsid w:val="007729A2"/>
    <w:rsid w:val="007755F2"/>
    <w:rsid w:val="007759B2"/>
    <w:rsid w:val="00776971"/>
    <w:rsid w:val="00780A80"/>
    <w:rsid w:val="0078177E"/>
    <w:rsid w:val="0078304C"/>
    <w:rsid w:val="00783673"/>
    <w:rsid w:val="00785490"/>
    <w:rsid w:val="0078670F"/>
    <w:rsid w:val="0079121A"/>
    <w:rsid w:val="007925EA"/>
    <w:rsid w:val="0079302D"/>
    <w:rsid w:val="007938A8"/>
    <w:rsid w:val="00793CD8"/>
    <w:rsid w:val="007957B3"/>
    <w:rsid w:val="00795C92"/>
    <w:rsid w:val="00796231"/>
    <w:rsid w:val="007A1CB3"/>
    <w:rsid w:val="007A306F"/>
    <w:rsid w:val="007A43A6"/>
    <w:rsid w:val="007A43BC"/>
    <w:rsid w:val="007A58A6"/>
    <w:rsid w:val="007B0A1F"/>
    <w:rsid w:val="007B3D2D"/>
    <w:rsid w:val="007B50AE"/>
    <w:rsid w:val="007B51DF"/>
    <w:rsid w:val="007C05DD"/>
    <w:rsid w:val="007C3D18"/>
    <w:rsid w:val="007C60BF"/>
    <w:rsid w:val="007C676F"/>
    <w:rsid w:val="007C6A07"/>
    <w:rsid w:val="007C75A1"/>
    <w:rsid w:val="007C77A5"/>
    <w:rsid w:val="007D04E5"/>
    <w:rsid w:val="007D5901"/>
    <w:rsid w:val="007D7526"/>
    <w:rsid w:val="007D7E5B"/>
    <w:rsid w:val="007D7EFB"/>
    <w:rsid w:val="007E041A"/>
    <w:rsid w:val="007E0690"/>
    <w:rsid w:val="007E4610"/>
    <w:rsid w:val="007E4715"/>
    <w:rsid w:val="007E505B"/>
    <w:rsid w:val="007E6BDB"/>
    <w:rsid w:val="007E7091"/>
    <w:rsid w:val="007F0A2B"/>
    <w:rsid w:val="007F44ED"/>
    <w:rsid w:val="007F4E07"/>
    <w:rsid w:val="007F58F0"/>
    <w:rsid w:val="00803FAE"/>
    <w:rsid w:val="0080605F"/>
    <w:rsid w:val="00807081"/>
    <w:rsid w:val="00807786"/>
    <w:rsid w:val="00811FCB"/>
    <w:rsid w:val="008158D6"/>
    <w:rsid w:val="00817196"/>
    <w:rsid w:val="00817F84"/>
    <w:rsid w:val="008235DB"/>
    <w:rsid w:val="00824AB4"/>
    <w:rsid w:val="00825C42"/>
    <w:rsid w:val="00825D25"/>
    <w:rsid w:val="00826927"/>
    <w:rsid w:val="00826B2F"/>
    <w:rsid w:val="00827D6F"/>
    <w:rsid w:val="00835F53"/>
    <w:rsid w:val="008375E9"/>
    <w:rsid w:val="008376AC"/>
    <w:rsid w:val="00843099"/>
    <w:rsid w:val="008444E8"/>
    <w:rsid w:val="00844E80"/>
    <w:rsid w:val="00846FE7"/>
    <w:rsid w:val="008503C8"/>
    <w:rsid w:val="00853D82"/>
    <w:rsid w:val="00856911"/>
    <w:rsid w:val="00861276"/>
    <w:rsid w:val="0086397D"/>
    <w:rsid w:val="008677FD"/>
    <w:rsid w:val="008706D4"/>
    <w:rsid w:val="00870F8A"/>
    <w:rsid w:val="008714E1"/>
    <w:rsid w:val="008719A4"/>
    <w:rsid w:val="00871D23"/>
    <w:rsid w:val="00874312"/>
    <w:rsid w:val="0087437C"/>
    <w:rsid w:val="00875CD7"/>
    <w:rsid w:val="00876B4D"/>
    <w:rsid w:val="00877F18"/>
    <w:rsid w:val="0088223C"/>
    <w:rsid w:val="00886398"/>
    <w:rsid w:val="00890BAF"/>
    <w:rsid w:val="00891265"/>
    <w:rsid w:val="008941E3"/>
    <w:rsid w:val="00894A88"/>
    <w:rsid w:val="00895386"/>
    <w:rsid w:val="008A21FF"/>
    <w:rsid w:val="008A2CE2"/>
    <w:rsid w:val="008A30AC"/>
    <w:rsid w:val="008A44B8"/>
    <w:rsid w:val="008A51A8"/>
    <w:rsid w:val="008A54C7"/>
    <w:rsid w:val="008A77D8"/>
    <w:rsid w:val="008A78E4"/>
    <w:rsid w:val="008B0483"/>
    <w:rsid w:val="008B120C"/>
    <w:rsid w:val="008B1B02"/>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3FA0"/>
    <w:rsid w:val="008D6D1A"/>
    <w:rsid w:val="008E065E"/>
    <w:rsid w:val="008E0927"/>
    <w:rsid w:val="008E1909"/>
    <w:rsid w:val="008E40EC"/>
    <w:rsid w:val="008E6D71"/>
    <w:rsid w:val="008F1C4E"/>
    <w:rsid w:val="008F1EAB"/>
    <w:rsid w:val="008F33DC"/>
    <w:rsid w:val="008F477F"/>
    <w:rsid w:val="008F73D2"/>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23913"/>
    <w:rsid w:val="00930500"/>
    <w:rsid w:val="00931BD9"/>
    <w:rsid w:val="00934185"/>
    <w:rsid w:val="009356C1"/>
    <w:rsid w:val="009368F3"/>
    <w:rsid w:val="00937F58"/>
    <w:rsid w:val="009406F5"/>
    <w:rsid w:val="00940968"/>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603D"/>
    <w:rsid w:val="00976949"/>
    <w:rsid w:val="00980477"/>
    <w:rsid w:val="00985253"/>
    <w:rsid w:val="009853B3"/>
    <w:rsid w:val="00985C7C"/>
    <w:rsid w:val="00990630"/>
    <w:rsid w:val="00991761"/>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C767C"/>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EAD"/>
    <w:rsid w:val="00A17BFC"/>
    <w:rsid w:val="00A17F63"/>
    <w:rsid w:val="00A2193B"/>
    <w:rsid w:val="00A21C61"/>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0815"/>
    <w:rsid w:val="00A51457"/>
    <w:rsid w:val="00A514D1"/>
    <w:rsid w:val="00A52A83"/>
    <w:rsid w:val="00A52E1D"/>
    <w:rsid w:val="00A548AB"/>
    <w:rsid w:val="00A5623E"/>
    <w:rsid w:val="00A61499"/>
    <w:rsid w:val="00A62578"/>
    <w:rsid w:val="00A62A77"/>
    <w:rsid w:val="00A63483"/>
    <w:rsid w:val="00A657D7"/>
    <w:rsid w:val="00A660AC"/>
    <w:rsid w:val="00A67E6C"/>
    <w:rsid w:val="00A70D1C"/>
    <w:rsid w:val="00A71B99"/>
    <w:rsid w:val="00A72F25"/>
    <w:rsid w:val="00A739D0"/>
    <w:rsid w:val="00A761D4"/>
    <w:rsid w:val="00A77EC4"/>
    <w:rsid w:val="00A801B1"/>
    <w:rsid w:val="00A85496"/>
    <w:rsid w:val="00A87E50"/>
    <w:rsid w:val="00A92879"/>
    <w:rsid w:val="00A9442A"/>
    <w:rsid w:val="00A97D71"/>
    <w:rsid w:val="00AA016F"/>
    <w:rsid w:val="00AA1ED6"/>
    <w:rsid w:val="00AA30CF"/>
    <w:rsid w:val="00AA4389"/>
    <w:rsid w:val="00AA5109"/>
    <w:rsid w:val="00AA51D6"/>
    <w:rsid w:val="00AB05B7"/>
    <w:rsid w:val="00AB0BC8"/>
    <w:rsid w:val="00AB11CA"/>
    <w:rsid w:val="00AB14D9"/>
    <w:rsid w:val="00AB40EB"/>
    <w:rsid w:val="00AB4474"/>
    <w:rsid w:val="00AB4AB8"/>
    <w:rsid w:val="00AB655E"/>
    <w:rsid w:val="00AB65A8"/>
    <w:rsid w:val="00AC007F"/>
    <w:rsid w:val="00AC2ECD"/>
    <w:rsid w:val="00AC3119"/>
    <w:rsid w:val="00AC49FB"/>
    <w:rsid w:val="00AC5038"/>
    <w:rsid w:val="00AC5A10"/>
    <w:rsid w:val="00AD0AA3"/>
    <w:rsid w:val="00AD155A"/>
    <w:rsid w:val="00AD2ED0"/>
    <w:rsid w:val="00AD3F94"/>
    <w:rsid w:val="00AD4A5A"/>
    <w:rsid w:val="00AD5841"/>
    <w:rsid w:val="00AD5B55"/>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1FB9"/>
    <w:rsid w:val="00B664C7"/>
    <w:rsid w:val="00B739F6"/>
    <w:rsid w:val="00B81A6C"/>
    <w:rsid w:val="00B85DE5"/>
    <w:rsid w:val="00B90F73"/>
    <w:rsid w:val="00B9379E"/>
    <w:rsid w:val="00B93B59"/>
    <w:rsid w:val="00B9406A"/>
    <w:rsid w:val="00B94F79"/>
    <w:rsid w:val="00BA2280"/>
    <w:rsid w:val="00BA2A08"/>
    <w:rsid w:val="00BA56D2"/>
    <w:rsid w:val="00BA76E0"/>
    <w:rsid w:val="00BA7BD5"/>
    <w:rsid w:val="00BB2A25"/>
    <w:rsid w:val="00BB51E9"/>
    <w:rsid w:val="00BB6EBB"/>
    <w:rsid w:val="00BC0FDC"/>
    <w:rsid w:val="00BC3053"/>
    <w:rsid w:val="00BC4D2E"/>
    <w:rsid w:val="00BC6427"/>
    <w:rsid w:val="00BD25A7"/>
    <w:rsid w:val="00BD2FFB"/>
    <w:rsid w:val="00BD48AC"/>
    <w:rsid w:val="00BD5F1A"/>
    <w:rsid w:val="00BD62F4"/>
    <w:rsid w:val="00BD6F6C"/>
    <w:rsid w:val="00BE01B1"/>
    <w:rsid w:val="00BE1234"/>
    <w:rsid w:val="00BE1F1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9"/>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70697"/>
    <w:rsid w:val="00C70B13"/>
    <w:rsid w:val="00C71F9C"/>
    <w:rsid w:val="00C72093"/>
    <w:rsid w:val="00C72EF4"/>
    <w:rsid w:val="00C744FE"/>
    <w:rsid w:val="00C747A9"/>
    <w:rsid w:val="00C75D2F"/>
    <w:rsid w:val="00C75E64"/>
    <w:rsid w:val="00C767BE"/>
    <w:rsid w:val="00C76E3C"/>
    <w:rsid w:val="00C81568"/>
    <w:rsid w:val="00C90154"/>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468F"/>
    <w:rsid w:val="00CC7B45"/>
    <w:rsid w:val="00CD1188"/>
    <w:rsid w:val="00CD1D28"/>
    <w:rsid w:val="00CD2ED1"/>
    <w:rsid w:val="00CD337B"/>
    <w:rsid w:val="00CD5413"/>
    <w:rsid w:val="00CD6B2A"/>
    <w:rsid w:val="00CD792B"/>
    <w:rsid w:val="00CE0424"/>
    <w:rsid w:val="00CE0BF7"/>
    <w:rsid w:val="00CE2E5D"/>
    <w:rsid w:val="00CE7561"/>
    <w:rsid w:val="00CF1354"/>
    <w:rsid w:val="00CF3B1F"/>
    <w:rsid w:val="00CF3BA9"/>
    <w:rsid w:val="00CF3BF6"/>
    <w:rsid w:val="00CF625B"/>
    <w:rsid w:val="00CF687E"/>
    <w:rsid w:val="00D020C5"/>
    <w:rsid w:val="00D0349B"/>
    <w:rsid w:val="00D10249"/>
    <w:rsid w:val="00D115C3"/>
    <w:rsid w:val="00D11897"/>
    <w:rsid w:val="00D13135"/>
    <w:rsid w:val="00D13E4E"/>
    <w:rsid w:val="00D239A7"/>
    <w:rsid w:val="00D23F47"/>
    <w:rsid w:val="00D333C2"/>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046B"/>
    <w:rsid w:val="00D61610"/>
    <w:rsid w:val="00D61AF5"/>
    <w:rsid w:val="00D625E8"/>
    <w:rsid w:val="00D62C6F"/>
    <w:rsid w:val="00D652B5"/>
    <w:rsid w:val="00D66155"/>
    <w:rsid w:val="00D66A59"/>
    <w:rsid w:val="00D708B0"/>
    <w:rsid w:val="00D77B1D"/>
    <w:rsid w:val="00D8021F"/>
    <w:rsid w:val="00D80383"/>
    <w:rsid w:val="00D823C6"/>
    <w:rsid w:val="00D8327F"/>
    <w:rsid w:val="00D84288"/>
    <w:rsid w:val="00D85F8E"/>
    <w:rsid w:val="00D86509"/>
    <w:rsid w:val="00D86CA3"/>
    <w:rsid w:val="00D871CE"/>
    <w:rsid w:val="00D915C1"/>
    <w:rsid w:val="00D9196D"/>
    <w:rsid w:val="00D92336"/>
    <w:rsid w:val="00D92982"/>
    <w:rsid w:val="00D93A77"/>
    <w:rsid w:val="00DA305E"/>
    <w:rsid w:val="00DA34D5"/>
    <w:rsid w:val="00DA5417"/>
    <w:rsid w:val="00DA56E8"/>
    <w:rsid w:val="00DB0A9F"/>
    <w:rsid w:val="00DB377D"/>
    <w:rsid w:val="00DB743C"/>
    <w:rsid w:val="00DC2541"/>
    <w:rsid w:val="00DC2D36"/>
    <w:rsid w:val="00DC53EF"/>
    <w:rsid w:val="00DC6A50"/>
    <w:rsid w:val="00DD2FDA"/>
    <w:rsid w:val="00DD70C5"/>
    <w:rsid w:val="00DE225E"/>
    <w:rsid w:val="00DE5608"/>
    <w:rsid w:val="00DE58D0"/>
    <w:rsid w:val="00DE654F"/>
    <w:rsid w:val="00DF037B"/>
    <w:rsid w:val="00DF08CF"/>
    <w:rsid w:val="00DF0B6E"/>
    <w:rsid w:val="00DF0FAA"/>
    <w:rsid w:val="00DF12C1"/>
    <w:rsid w:val="00DF15E0"/>
    <w:rsid w:val="00DF1EDB"/>
    <w:rsid w:val="00DF37A0"/>
    <w:rsid w:val="00DF67E0"/>
    <w:rsid w:val="00DF7F17"/>
    <w:rsid w:val="00E072E1"/>
    <w:rsid w:val="00E110E7"/>
    <w:rsid w:val="00E11B20"/>
    <w:rsid w:val="00E17FA2"/>
    <w:rsid w:val="00E22330"/>
    <w:rsid w:val="00E27B40"/>
    <w:rsid w:val="00E30B5A"/>
    <w:rsid w:val="00E3123D"/>
    <w:rsid w:val="00E31461"/>
    <w:rsid w:val="00E31D43"/>
    <w:rsid w:val="00E3201C"/>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7C51"/>
    <w:rsid w:val="00E72EFC"/>
    <w:rsid w:val="00E758EC"/>
    <w:rsid w:val="00E76F96"/>
    <w:rsid w:val="00E8234C"/>
    <w:rsid w:val="00E82F51"/>
    <w:rsid w:val="00E83532"/>
    <w:rsid w:val="00E83AA9"/>
    <w:rsid w:val="00E83E44"/>
    <w:rsid w:val="00E85928"/>
    <w:rsid w:val="00E87822"/>
    <w:rsid w:val="00E90395"/>
    <w:rsid w:val="00E90E49"/>
    <w:rsid w:val="00E917F9"/>
    <w:rsid w:val="00E9291C"/>
    <w:rsid w:val="00E93EED"/>
    <w:rsid w:val="00E93FFE"/>
    <w:rsid w:val="00E94F8A"/>
    <w:rsid w:val="00E9645E"/>
    <w:rsid w:val="00E97ED4"/>
    <w:rsid w:val="00EA7A41"/>
    <w:rsid w:val="00EB077B"/>
    <w:rsid w:val="00EB1924"/>
    <w:rsid w:val="00EB4EA2"/>
    <w:rsid w:val="00EC24D5"/>
    <w:rsid w:val="00EC27C6"/>
    <w:rsid w:val="00EC34AC"/>
    <w:rsid w:val="00EC4207"/>
    <w:rsid w:val="00EC45A6"/>
    <w:rsid w:val="00EC5653"/>
    <w:rsid w:val="00EC71CE"/>
    <w:rsid w:val="00ED1006"/>
    <w:rsid w:val="00ED402D"/>
    <w:rsid w:val="00ED4F36"/>
    <w:rsid w:val="00EE543B"/>
    <w:rsid w:val="00EF18FE"/>
    <w:rsid w:val="00EF524D"/>
    <w:rsid w:val="00EF5787"/>
    <w:rsid w:val="00EF60D0"/>
    <w:rsid w:val="00F01EEA"/>
    <w:rsid w:val="00F0528D"/>
    <w:rsid w:val="00F06C67"/>
    <w:rsid w:val="00F06DFD"/>
    <w:rsid w:val="00F071D1"/>
    <w:rsid w:val="00F07533"/>
    <w:rsid w:val="00F10629"/>
    <w:rsid w:val="00F136F9"/>
    <w:rsid w:val="00F15FA5"/>
    <w:rsid w:val="00F17241"/>
    <w:rsid w:val="00F209B7"/>
    <w:rsid w:val="00F21347"/>
    <w:rsid w:val="00F2176D"/>
    <w:rsid w:val="00F2203B"/>
    <w:rsid w:val="00F23666"/>
    <w:rsid w:val="00F2376F"/>
    <w:rsid w:val="00F243D8"/>
    <w:rsid w:val="00F30828"/>
    <w:rsid w:val="00F313D6"/>
    <w:rsid w:val="00F31AFC"/>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426"/>
    <w:rsid w:val="00F75582"/>
    <w:rsid w:val="00F76EFA"/>
    <w:rsid w:val="00F804BE"/>
    <w:rsid w:val="00F81727"/>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4F61"/>
    <w:rsid w:val="00FB6A6A"/>
    <w:rsid w:val="00FC41D0"/>
    <w:rsid w:val="00FC7429"/>
    <w:rsid w:val="00FD07F6"/>
    <w:rsid w:val="00FD11D7"/>
    <w:rsid w:val="00FD1EAE"/>
    <w:rsid w:val="00FD1EC8"/>
    <w:rsid w:val="00FD2DC2"/>
    <w:rsid w:val="00FD47ED"/>
    <w:rsid w:val="00FD74DB"/>
    <w:rsid w:val="00FD7660"/>
    <w:rsid w:val="00FE0655"/>
    <w:rsid w:val="00FE2365"/>
    <w:rsid w:val="00FE37D7"/>
    <w:rsid w:val="00FE4C31"/>
    <w:rsid w:val="00FE4C7B"/>
    <w:rsid w:val="00FE7336"/>
    <w:rsid w:val="00FE787C"/>
    <w:rsid w:val="00FE7FD8"/>
    <w:rsid w:val="00FF0D21"/>
    <w:rsid w:val="00FF45A5"/>
    <w:rsid w:val="00FF5C91"/>
    <w:rsid w:val="00FF75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 w:type="paragraph" w:customStyle="1" w:styleId="Bosy">
    <w:name w:val="Bosy"/>
    <w:basedOn w:val="Normal"/>
    <w:qFormat/>
    <w:rsid w:val="002F788A"/>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3252527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34750909">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5711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5NUHHDQN7SK2-1476151046-41810</_dlc_DocId>
    <_dlc_DocIdUrl xmlns="f166a696-7b5b-4ccd-9f0c-ffde0cceec81">
      <Url>https://ericsson.sharepoint.com/sites/star/_layouts/15/DocIdRedir.aspx?ID=5NUHHDQN7SK2-1476151046-41810</Url>
      <Description>5NUHHDQN7SK2-1476151046-41810</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2.xml><?xml version="1.0" encoding="utf-8"?>
<ds:datastoreItem xmlns:ds="http://schemas.openxmlformats.org/officeDocument/2006/customXml" ds:itemID="{C2D5DE03-2C22-4E18-9C5F-AFF792379C70}">
  <ds:schemaRefs>
    <ds:schemaRef ds:uri="http://schemas.microsoft.com/office/2006/documentManagement/types"/>
    <ds:schemaRef ds:uri="http://purl.org/dc/elements/1.1/"/>
    <ds:schemaRef ds:uri="d8762117-8292-4133-b1c7-eab5c6487cfd"/>
    <ds:schemaRef ds:uri="611109f9-ed58-4498-a270-1fb2086a5321"/>
    <ds:schemaRef ds:uri="http://schemas.microsoft.com/sharepoint/v4"/>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4.xml><?xml version="1.0" encoding="utf-8"?>
<ds:datastoreItem xmlns:ds="http://schemas.openxmlformats.org/officeDocument/2006/customXml" ds:itemID="{EE51A535-B891-4D98-8E59-5EAD4CFA9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6.xml><?xml version="1.0" encoding="utf-8"?>
<ds:datastoreItem xmlns:ds="http://schemas.openxmlformats.org/officeDocument/2006/customXml" ds:itemID="{C2616417-C7DB-4999-A4C4-EA6818A19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TotalTime>
  <Pages>12</Pages>
  <Words>5556</Words>
  <Characters>28955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24</cp:revision>
  <cp:lastPrinted>2008-01-31T07:09:00Z</cp:lastPrinted>
  <dcterms:created xsi:type="dcterms:W3CDTF">2019-02-14T19:01:00Z</dcterms:created>
  <dcterms:modified xsi:type="dcterms:W3CDTF">2019-02-16T02:03:00Z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922cf483-17d0-49ff-ae50-94d383fd40a1</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2048">
    <vt:lpwstr>358</vt:lpwstr>
  </property>
</Properties>
</file>